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DA" w:rsidRPr="0036389C" w:rsidRDefault="006D5DFC"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color w:val="0D0D0D" w:themeColor="text1" w:themeTint="F2"/>
          <w:sz w:val="24"/>
          <w:szCs w:val="24"/>
          <w:lang w:val="kk-KZ"/>
        </w:rPr>
        <w:t>«Су ресурстары - Маркетинг»</w:t>
      </w:r>
      <w:r w:rsidR="00CC7905" w:rsidRPr="0036389C">
        <w:rPr>
          <w:rFonts w:ascii="Times New Roman" w:hAnsi="Times New Roman" w:cs="Times New Roman"/>
          <w:b/>
          <w:color w:val="0D0D0D" w:themeColor="text1" w:themeTint="F2"/>
          <w:sz w:val="24"/>
          <w:szCs w:val="24"/>
          <w:lang w:val="kk-KZ"/>
        </w:rPr>
        <w:t xml:space="preserve"> ЖШС</w:t>
      </w:r>
      <w:r w:rsidR="006811C9" w:rsidRPr="0036389C">
        <w:rPr>
          <w:rFonts w:ascii="Times New Roman" w:hAnsi="Times New Roman" w:cs="Times New Roman"/>
          <w:b/>
          <w:color w:val="0D0D0D" w:themeColor="text1" w:themeTint="F2"/>
          <w:sz w:val="24"/>
          <w:szCs w:val="24"/>
          <w:lang w:val="kk-KZ"/>
        </w:rPr>
        <w:t>-</w:t>
      </w:r>
      <w:r w:rsidR="00CC7905" w:rsidRPr="0036389C">
        <w:rPr>
          <w:rFonts w:ascii="Times New Roman" w:hAnsi="Times New Roman" w:cs="Times New Roman"/>
          <w:b/>
          <w:color w:val="0D0D0D" w:themeColor="text1" w:themeTint="F2"/>
          <w:sz w:val="24"/>
          <w:szCs w:val="24"/>
          <w:lang w:val="kk-KZ"/>
        </w:rPr>
        <w:t>нің таратушы желілер арқылы</w:t>
      </w:r>
      <w:r w:rsidR="00CC2162" w:rsidRPr="0036389C">
        <w:rPr>
          <w:rFonts w:ascii="Times New Roman" w:hAnsi="Times New Roman" w:cs="Times New Roman"/>
          <w:b/>
          <w:color w:val="0D0D0D" w:themeColor="text1" w:themeTint="F2"/>
          <w:sz w:val="24"/>
          <w:szCs w:val="24"/>
          <w:lang w:val="kk-KZ"/>
        </w:rPr>
        <w:t xml:space="preserve"> сумен жабдықтау және ағынды суларды бұру қызметтері бойынша 202</w:t>
      </w:r>
      <w:r w:rsidR="002C5A56" w:rsidRPr="0036389C">
        <w:rPr>
          <w:rFonts w:ascii="Times New Roman" w:hAnsi="Times New Roman" w:cs="Times New Roman"/>
          <w:b/>
          <w:color w:val="0D0D0D" w:themeColor="text1" w:themeTint="F2"/>
          <w:sz w:val="24"/>
          <w:szCs w:val="24"/>
          <w:lang w:val="kk-KZ"/>
        </w:rPr>
        <w:t>1</w:t>
      </w:r>
      <w:r w:rsidR="00CC2162" w:rsidRPr="0036389C">
        <w:rPr>
          <w:rFonts w:ascii="Times New Roman" w:hAnsi="Times New Roman" w:cs="Times New Roman"/>
          <w:b/>
          <w:color w:val="0D0D0D" w:themeColor="text1" w:themeTint="F2"/>
          <w:sz w:val="24"/>
          <w:szCs w:val="24"/>
          <w:lang w:val="kk-KZ"/>
        </w:rPr>
        <w:t xml:space="preserve"> жылғы есебі</w:t>
      </w:r>
    </w:p>
    <w:p w:rsidR="009E04BB" w:rsidRPr="0036389C" w:rsidRDefault="009E04BB" w:rsidP="0036389C">
      <w:pPr>
        <w:spacing w:after="0" w:line="240" w:lineRule="auto"/>
        <w:jc w:val="center"/>
        <w:rPr>
          <w:rFonts w:ascii="Times New Roman" w:hAnsi="Times New Roman" w:cs="Times New Roman"/>
          <w:color w:val="0D0D0D" w:themeColor="text1" w:themeTint="F2"/>
          <w:sz w:val="24"/>
          <w:szCs w:val="24"/>
          <w:lang w:val="kk-KZ"/>
        </w:rPr>
      </w:pPr>
    </w:p>
    <w:p w:rsidR="000E035D" w:rsidRPr="0036389C" w:rsidRDefault="00B76EB3"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Табиғи монополия субъектісі</w:t>
      </w:r>
      <w:r w:rsidR="000E035D" w:rsidRPr="0036389C">
        <w:rPr>
          <w:rFonts w:ascii="Times New Roman" w:hAnsi="Times New Roman" w:cs="Times New Roman"/>
          <w:color w:val="0D0D0D" w:themeColor="text1" w:themeTint="F2"/>
          <w:sz w:val="24"/>
          <w:szCs w:val="24"/>
          <w:lang w:val="kk-KZ"/>
        </w:rPr>
        <w:t xml:space="preserve"> Қазақстан Республикасының «Табиғи монополия туралы» заңының талабына сәйкес тұтынушылар мен өзге де мүдделі тұлғалар алдында атқарған жұмыстары туралы есеп беруге тиіс. </w:t>
      </w:r>
      <w:r w:rsidRPr="0036389C">
        <w:rPr>
          <w:rFonts w:ascii="Times New Roman" w:hAnsi="Times New Roman" w:cs="Times New Roman"/>
          <w:color w:val="0D0D0D" w:themeColor="text1" w:themeTint="F2"/>
          <w:sz w:val="24"/>
          <w:szCs w:val="24"/>
          <w:lang w:val="kk-KZ"/>
        </w:rPr>
        <w:t xml:space="preserve">Осыған орай, </w:t>
      </w:r>
      <w:r w:rsidR="000E035D" w:rsidRPr="0036389C">
        <w:rPr>
          <w:rFonts w:ascii="Times New Roman" w:hAnsi="Times New Roman" w:cs="Times New Roman"/>
          <w:color w:val="0D0D0D" w:themeColor="text1" w:themeTint="F2"/>
          <w:sz w:val="24"/>
          <w:szCs w:val="24"/>
          <w:lang w:val="kk-KZ"/>
        </w:rPr>
        <w:t xml:space="preserve"> «Су ресурстары - Маркетинг» ЖШС-і 202</w:t>
      </w:r>
      <w:r w:rsidR="002C5A56" w:rsidRPr="0036389C">
        <w:rPr>
          <w:rFonts w:ascii="Times New Roman" w:hAnsi="Times New Roman" w:cs="Times New Roman"/>
          <w:color w:val="0D0D0D" w:themeColor="text1" w:themeTint="F2"/>
          <w:sz w:val="24"/>
          <w:szCs w:val="24"/>
          <w:lang w:val="kk-KZ"/>
        </w:rPr>
        <w:t>2</w:t>
      </w:r>
      <w:r w:rsidR="000E035D" w:rsidRPr="0036389C">
        <w:rPr>
          <w:rFonts w:ascii="Times New Roman" w:hAnsi="Times New Roman" w:cs="Times New Roman"/>
          <w:color w:val="0D0D0D" w:themeColor="text1" w:themeTint="F2"/>
          <w:sz w:val="24"/>
          <w:szCs w:val="24"/>
          <w:lang w:val="kk-KZ"/>
        </w:rPr>
        <w:t xml:space="preserve"> жылдың 2</w:t>
      </w:r>
      <w:r w:rsidR="002C5A56" w:rsidRPr="0036389C">
        <w:rPr>
          <w:rFonts w:ascii="Times New Roman" w:hAnsi="Times New Roman" w:cs="Times New Roman"/>
          <w:color w:val="0D0D0D" w:themeColor="text1" w:themeTint="F2"/>
          <w:sz w:val="24"/>
          <w:szCs w:val="24"/>
          <w:lang w:val="kk-KZ"/>
        </w:rPr>
        <w:t>9</w:t>
      </w:r>
      <w:r w:rsidR="000E035D" w:rsidRPr="0036389C">
        <w:rPr>
          <w:rFonts w:ascii="Times New Roman" w:hAnsi="Times New Roman" w:cs="Times New Roman"/>
          <w:color w:val="0D0D0D" w:themeColor="text1" w:themeTint="F2"/>
          <w:sz w:val="24"/>
          <w:szCs w:val="24"/>
          <w:lang w:val="kk-KZ"/>
        </w:rPr>
        <w:t xml:space="preserve"> сәуірінде </w:t>
      </w:r>
      <w:r w:rsidRPr="0036389C">
        <w:rPr>
          <w:rFonts w:ascii="Times New Roman" w:hAnsi="Times New Roman" w:cs="Times New Roman"/>
          <w:color w:val="0D0D0D" w:themeColor="text1" w:themeTint="F2"/>
          <w:sz w:val="24"/>
          <w:szCs w:val="24"/>
          <w:lang w:val="kk-KZ"/>
        </w:rPr>
        <w:t xml:space="preserve"> 202</w:t>
      </w:r>
      <w:r w:rsidR="002C5A56" w:rsidRPr="0036389C">
        <w:rPr>
          <w:rFonts w:ascii="Times New Roman" w:hAnsi="Times New Roman" w:cs="Times New Roman"/>
          <w:color w:val="0D0D0D" w:themeColor="text1" w:themeTint="F2"/>
          <w:sz w:val="24"/>
          <w:szCs w:val="24"/>
          <w:lang w:val="kk-KZ"/>
        </w:rPr>
        <w:t>1</w:t>
      </w:r>
      <w:r w:rsidRPr="0036389C">
        <w:rPr>
          <w:rFonts w:ascii="Times New Roman" w:hAnsi="Times New Roman" w:cs="Times New Roman"/>
          <w:color w:val="0D0D0D" w:themeColor="text1" w:themeTint="F2"/>
          <w:sz w:val="24"/>
          <w:szCs w:val="24"/>
          <w:lang w:val="kk-KZ"/>
        </w:rPr>
        <w:t xml:space="preserve"> жылы атқарылған </w:t>
      </w:r>
      <w:r w:rsidR="000E035D" w:rsidRPr="0036389C">
        <w:rPr>
          <w:rFonts w:ascii="Times New Roman" w:hAnsi="Times New Roman" w:cs="Times New Roman"/>
          <w:color w:val="0D0D0D" w:themeColor="text1" w:themeTint="F2"/>
          <w:sz w:val="24"/>
          <w:szCs w:val="24"/>
          <w:lang w:val="kk-KZ"/>
        </w:rPr>
        <w:t>жылдық жұмыс есебін берді.</w:t>
      </w:r>
    </w:p>
    <w:p w:rsidR="000E035D" w:rsidRPr="00A33A4E" w:rsidRDefault="00B76EB3" w:rsidP="0036389C">
      <w:pPr>
        <w:spacing w:after="0" w:line="240" w:lineRule="auto"/>
        <w:ind w:firstLine="708"/>
        <w:jc w:val="both"/>
        <w:rPr>
          <w:rFonts w:ascii="Times New Roman" w:hAnsi="Times New Roman" w:cs="Times New Roman"/>
          <w:color w:val="1D1B11" w:themeColor="background2" w:themeShade="1A"/>
          <w:sz w:val="24"/>
          <w:szCs w:val="24"/>
          <w:lang w:val="kk-KZ"/>
        </w:rPr>
      </w:pPr>
      <w:r w:rsidRPr="00A33A4E">
        <w:rPr>
          <w:rFonts w:ascii="Times New Roman" w:hAnsi="Times New Roman" w:cs="Times New Roman"/>
          <w:color w:val="1D1B11" w:themeColor="background2" w:themeShade="1A"/>
          <w:sz w:val="24"/>
          <w:szCs w:val="24"/>
          <w:lang w:val="kk-KZ"/>
        </w:rPr>
        <w:t>Есепке</w:t>
      </w:r>
      <w:r w:rsidR="00915785" w:rsidRPr="00A33A4E">
        <w:rPr>
          <w:rFonts w:ascii="Times New Roman" w:hAnsi="Times New Roman" w:cs="Times New Roman"/>
          <w:color w:val="1D1B11" w:themeColor="background2" w:themeShade="1A"/>
          <w:sz w:val="24"/>
          <w:szCs w:val="24"/>
          <w:lang w:val="kk-KZ"/>
        </w:rPr>
        <w:t xml:space="preserve"> </w:t>
      </w:r>
      <w:r w:rsidR="00702B39" w:rsidRPr="00A33A4E">
        <w:rPr>
          <w:rFonts w:ascii="Times New Roman" w:hAnsi="Times New Roman" w:cs="Times New Roman"/>
          <w:color w:val="1D1B11" w:themeColor="background2" w:themeShade="1A"/>
          <w:sz w:val="24"/>
          <w:szCs w:val="24"/>
          <w:lang w:val="kk-KZ"/>
        </w:rPr>
        <w:t>Табиғи монополияларды реттеу комитетінің Шымкент қаласы бойынша департаментінің басшысы</w:t>
      </w:r>
      <w:r w:rsidR="00C06ED9" w:rsidRPr="00A33A4E">
        <w:rPr>
          <w:rFonts w:ascii="Times New Roman" w:hAnsi="Times New Roman" w:cs="Times New Roman"/>
          <w:color w:val="1D1B11" w:themeColor="background2" w:themeShade="1A"/>
          <w:sz w:val="24"/>
          <w:szCs w:val="24"/>
          <w:lang w:val="kk-KZ"/>
        </w:rPr>
        <w:t xml:space="preserve"> орынбасары А.Алибекова,</w:t>
      </w:r>
      <w:r w:rsidR="00702B39" w:rsidRPr="00A33A4E">
        <w:rPr>
          <w:rFonts w:ascii="Times New Roman" w:hAnsi="Times New Roman" w:cs="Times New Roman"/>
          <w:color w:val="1D1B11" w:themeColor="background2" w:themeShade="1A"/>
          <w:sz w:val="24"/>
          <w:szCs w:val="24"/>
          <w:lang w:val="kk-KZ"/>
        </w:rPr>
        <w:t xml:space="preserve">  </w:t>
      </w:r>
      <w:r w:rsidR="00915785" w:rsidRPr="00A33A4E">
        <w:rPr>
          <w:rFonts w:ascii="Times New Roman" w:hAnsi="Times New Roman" w:cs="Times New Roman"/>
          <w:color w:val="1D1B11" w:themeColor="background2" w:themeShade="1A"/>
          <w:sz w:val="24"/>
          <w:szCs w:val="24"/>
          <w:lang w:val="kk-KZ"/>
        </w:rPr>
        <w:t>«</w:t>
      </w:r>
      <w:r w:rsidR="00367F74" w:rsidRPr="00A33A4E">
        <w:rPr>
          <w:rFonts w:ascii="Times New Roman" w:hAnsi="Times New Roman" w:cs="Times New Roman"/>
          <w:color w:val="1D1B11" w:themeColor="background2" w:themeShade="1A"/>
          <w:sz w:val="24"/>
          <w:szCs w:val="24"/>
          <w:lang w:val="kk-KZ"/>
        </w:rPr>
        <w:t>Әділет</w:t>
      </w:r>
      <w:r w:rsidR="00915785" w:rsidRPr="00A33A4E">
        <w:rPr>
          <w:rFonts w:ascii="Times New Roman" w:hAnsi="Times New Roman" w:cs="Times New Roman"/>
          <w:color w:val="1D1B11" w:themeColor="background2" w:themeShade="1A"/>
          <w:sz w:val="24"/>
          <w:szCs w:val="24"/>
          <w:lang w:val="kk-KZ"/>
        </w:rPr>
        <w:t>»</w:t>
      </w:r>
      <w:r w:rsidR="00367F74" w:rsidRPr="00A33A4E">
        <w:rPr>
          <w:rFonts w:ascii="Times New Roman" w:hAnsi="Times New Roman" w:cs="Times New Roman"/>
          <w:color w:val="1D1B11" w:themeColor="background2" w:themeShade="1A"/>
          <w:sz w:val="24"/>
          <w:szCs w:val="24"/>
          <w:lang w:val="kk-KZ"/>
        </w:rPr>
        <w:t xml:space="preserve"> тұтынушылар құқығын қорғау Қоғамдық бірлестігінің төрағасы Б.Төлентаев, Шымкент қаласы «Ардагер – Оңтүстік тұтынушылардың құқығын қорғау қоғамы» қоғамдық бірлесті</w:t>
      </w:r>
      <w:r w:rsidR="006811C9" w:rsidRPr="00A33A4E">
        <w:rPr>
          <w:rFonts w:ascii="Times New Roman" w:hAnsi="Times New Roman" w:cs="Times New Roman"/>
          <w:color w:val="1D1B11" w:themeColor="background2" w:themeShade="1A"/>
          <w:sz w:val="24"/>
          <w:szCs w:val="24"/>
          <w:lang w:val="kk-KZ"/>
        </w:rPr>
        <w:t>гінің</w:t>
      </w:r>
      <w:r w:rsidR="00367F74" w:rsidRPr="00A33A4E">
        <w:rPr>
          <w:rFonts w:ascii="Times New Roman" w:hAnsi="Times New Roman" w:cs="Times New Roman"/>
          <w:color w:val="1D1B11" w:themeColor="background2" w:themeShade="1A"/>
          <w:sz w:val="24"/>
          <w:szCs w:val="24"/>
          <w:lang w:val="kk-KZ"/>
        </w:rPr>
        <w:t xml:space="preserve"> басшысы Т.Қараменов, қ</w:t>
      </w:r>
      <w:r w:rsidR="006811C9" w:rsidRPr="00A33A4E">
        <w:rPr>
          <w:rFonts w:ascii="Times New Roman" w:hAnsi="Times New Roman" w:cs="Times New Roman"/>
          <w:color w:val="1D1B11" w:themeColor="background2" w:themeShade="1A"/>
          <w:sz w:val="24"/>
          <w:szCs w:val="24"/>
          <w:lang w:val="kk-KZ"/>
        </w:rPr>
        <w:t>алалық мәслихат депутаттары Б.Тө</w:t>
      </w:r>
      <w:r w:rsidR="00367F74" w:rsidRPr="00A33A4E">
        <w:rPr>
          <w:rFonts w:ascii="Times New Roman" w:hAnsi="Times New Roman" w:cs="Times New Roman"/>
          <w:color w:val="1D1B11" w:themeColor="background2" w:themeShade="1A"/>
          <w:sz w:val="24"/>
          <w:szCs w:val="24"/>
          <w:lang w:val="kk-KZ"/>
        </w:rPr>
        <w:t>легенов, Н.Мамыкова</w:t>
      </w:r>
      <w:r w:rsidR="00D71C40" w:rsidRPr="00A33A4E">
        <w:rPr>
          <w:rFonts w:ascii="Times New Roman" w:hAnsi="Times New Roman" w:cs="Times New Roman"/>
          <w:color w:val="1D1B11" w:themeColor="background2" w:themeShade="1A"/>
          <w:sz w:val="24"/>
          <w:szCs w:val="24"/>
          <w:lang w:val="kk-KZ"/>
        </w:rPr>
        <w:t xml:space="preserve">, </w:t>
      </w:r>
      <w:r w:rsidR="00D71C40" w:rsidRPr="00A33A4E">
        <w:rPr>
          <w:rFonts w:ascii="Times New Roman" w:hAnsi="Times New Roman" w:cs="Times New Roman"/>
          <w:color w:val="1D1B11" w:themeColor="background2" w:themeShade="1A"/>
          <w:sz w:val="24"/>
          <w:szCs w:val="24"/>
          <w:lang w:val="kk-KZ"/>
        </w:rPr>
        <w:t>Б</w:t>
      </w:r>
      <w:r w:rsidR="00D71C40" w:rsidRPr="00A33A4E">
        <w:rPr>
          <w:rFonts w:ascii="Times New Roman" w:hAnsi="Times New Roman" w:cs="Times New Roman"/>
          <w:color w:val="1D1B11" w:themeColor="background2" w:themeShade="1A"/>
          <w:sz w:val="24"/>
          <w:szCs w:val="24"/>
          <w:lang w:val="kk-KZ"/>
        </w:rPr>
        <w:t xml:space="preserve">.Әшірбаев, </w:t>
      </w:r>
      <w:r w:rsidR="00D71C40" w:rsidRPr="00A33A4E">
        <w:rPr>
          <w:rFonts w:ascii="Times New Roman" w:hAnsi="Times New Roman" w:cs="Times New Roman"/>
          <w:color w:val="1D1B11" w:themeColor="background2" w:themeShade="1A"/>
          <w:sz w:val="24"/>
          <w:szCs w:val="24"/>
          <w:lang w:val="kk-KZ"/>
        </w:rPr>
        <w:t>Т</w:t>
      </w:r>
      <w:r w:rsidR="00A33A4E">
        <w:rPr>
          <w:rFonts w:ascii="Times New Roman" w:hAnsi="Times New Roman" w:cs="Times New Roman"/>
          <w:color w:val="1D1B11" w:themeColor="background2" w:themeShade="1A"/>
          <w:sz w:val="24"/>
          <w:szCs w:val="24"/>
          <w:lang w:val="kk-KZ"/>
        </w:rPr>
        <w:t>.</w:t>
      </w:r>
      <w:r w:rsidR="00D71C40" w:rsidRPr="00A33A4E">
        <w:rPr>
          <w:rFonts w:ascii="Times New Roman" w:hAnsi="Times New Roman" w:cs="Times New Roman"/>
          <w:color w:val="1D1B11" w:themeColor="background2" w:themeShade="1A"/>
          <w:sz w:val="24"/>
          <w:szCs w:val="24"/>
          <w:lang w:val="kk-KZ"/>
        </w:rPr>
        <w:t xml:space="preserve">Султанова </w:t>
      </w:r>
      <w:r w:rsidR="00A33A4E" w:rsidRPr="00A33A4E">
        <w:rPr>
          <w:rFonts w:ascii="Times New Roman" w:hAnsi="Times New Roman" w:cs="Times New Roman"/>
          <w:color w:val="1D1B11" w:themeColor="background2" w:themeShade="1A"/>
          <w:sz w:val="24"/>
          <w:szCs w:val="24"/>
          <w:lang w:val="kk-KZ"/>
        </w:rPr>
        <w:t xml:space="preserve">қоғам белсендісі </w:t>
      </w:r>
      <w:r w:rsidR="00A33A4E" w:rsidRPr="00A33A4E">
        <w:rPr>
          <w:rFonts w:ascii="Times New Roman" w:hAnsi="Times New Roman" w:cs="Times New Roman"/>
          <w:color w:val="1D1B11" w:themeColor="background2" w:themeShade="1A"/>
          <w:sz w:val="24"/>
          <w:szCs w:val="24"/>
          <w:lang w:val="kk-KZ"/>
        </w:rPr>
        <w:t>Ж</w:t>
      </w:r>
      <w:r w:rsidR="00A33A4E" w:rsidRPr="00A33A4E">
        <w:rPr>
          <w:rFonts w:ascii="Times New Roman" w:hAnsi="Times New Roman" w:cs="Times New Roman"/>
          <w:color w:val="1D1B11" w:themeColor="background2" w:themeShade="1A"/>
          <w:sz w:val="24"/>
          <w:szCs w:val="24"/>
          <w:lang w:val="kk-KZ"/>
        </w:rPr>
        <w:t xml:space="preserve">.Өтеген </w:t>
      </w:r>
      <w:r w:rsidR="006811C9" w:rsidRPr="00A33A4E">
        <w:rPr>
          <w:rFonts w:ascii="Times New Roman" w:hAnsi="Times New Roman" w:cs="Times New Roman"/>
          <w:color w:val="1D1B11" w:themeColor="background2" w:themeShade="1A"/>
          <w:sz w:val="24"/>
          <w:szCs w:val="24"/>
          <w:lang w:val="kk-KZ"/>
        </w:rPr>
        <w:t>және</w:t>
      </w:r>
      <w:r w:rsidR="00367F74" w:rsidRPr="00A33A4E">
        <w:rPr>
          <w:rFonts w:ascii="Times New Roman" w:hAnsi="Times New Roman" w:cs="Times New Roman"/>
          <w:color w:val="1D1B11" w:themeColor="background2" w:themeShade="1A"/>
          <w:sz w:val="24"/>
          <w:szCs w:val="24"/>
          <w:lang w:val="kk-KZ"/>
        </w:rPr>
        <w:t xml:space="preserve"> бұқаралық ақпарат құралдарының өкілдері қатысты.</w:t>
      </w:r>
    </w:p>
    <w:p w:rsidR="00FC089F" w:rsidRPr="0036389C" w:rsidRDefault="000E035D"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«Су ресурстары - Маркетинг» ЖШС-і бұл мемлекеттік-жекеменшік серіктестік шеңберінде 2</w:t>
      </w:r>
      <w:r w:rsidR="00CD1EEE" w:rsidRPr="0036389C">
        <w:rPr>
          <w:rFonts w:ascii="Times New Roman" w:hAnsi="Times New Roman" w:cs="Times New Roman"/>
          <w:color w:val="0D0D0D" w:themeColor="text1" w:themeTint="F2"/>
          <w:sz w:val="24"/>
          <w:szCs w:val="24"/>
          <w:lang w:val="kk-KZ"/>
        </w:rPr>
        <w:t>4</w:t>
      </w:r>
      <w:r w:rsidRPr="0036389C">
        <w:rPr>
          <w:rFonts w:ascii="Times New Roman" w:hAnsi="Times New Roman" w:cs="Times New Roman"/>
          <w:color w:val="0D0D0D" w:themeColor="text1" w:themeTint="F2"/>
          <w:sz w:val="24"/>
          <w:szCs w:val="24"/>
          <w:lang w:val="kk-KZ"/>
        </w:rPr>
        <w:t xml:space="preserve"> жыл бойы қызмет көрсету нарығында табысты жұмыс істеп келе жатқан кәсіпорын.</w:t>
      </w:r>
      <w:r w:rsidR="00E4091C" w:rsidRPr="0036389C">
        <w:rPr>
          <w:rFonts w:ascii="Times New Roman" w:hAnsi="Times New Roman" w:cs="Times New Roman"/>
          <w:color w:val="0D0D0D" w:themeColor="text1" w:themeTint="F2"/>
          <w:sz w:val="24"/>
          <w:szCs w:val="24"/>
          <w:lang w:val="kk-KZ"/>
        </w:rPr>
        <w:t xml:space="preserve"> </w:t>
      </w:r>
    </w:p>
    <w:p w:rsidR="00FC089F" w:rsidRPr="0036389C" w:rsidRDefault="00E4091C"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Мекеме Шымкент қаласы және Сайрам ауданының бірқатар елді мекендерін шаруашылық ауыз сумен үздіксіз</w:t>
      </w:r>
      <w:r w:rsidR="008E256C" w:rsidRPr="0036389C">
        <w:rPr>
          <w:rFonts w:ascii="Times New Roman" w:hAnsi="Times New Roman" w:cs="Times New Roman"/>
          <w:color w:val="0D0D0D" w:themeColor="text1" w:themeTint="F2"/>
          <w:sz w:val="24"/>
          <w:szCs w:val="24"/>
          <w:lang w:val="kk-KZ"/>
        </w:rPr>
        <w:t xml:space="preserve"> қамтамасыз етеді және шайынды суларды толық тазартумен суды бұру қызметтерін көрсетеді. </w:t>
      </w:r>
    </w:p>
    <w:p w:rsidR="00CD1EEE" w:rsidRPr="0036389C" w:rsidRDefault="00CD1EEE" w:rsidP="0036389C">
      <w:pPr>
        <w:pStyle w:val="11"/>
        <w:ind w:firstLine="720"/>
        <w:jc w:val="both"/>
        <w:rPr>
          <w:rFonts w:eastAsiaTheme="minorHAnsi"/>
          <w:color w:val="0D0D0D" w:themeColor="text1" w:themeTint="F2"/>
          <w:sz w:val="24"/>
          <w:szCs w:val="24"/>
          <w:lang w:val="kk-KZ"/>
        </w:rPr>
      </w:pPr>
      <w:r w:rsidRPr="0036389C">
        <w:rPr>
          <w:rFonts w:eastAsiaTheme="minorHAnsi"/>
          <w:color w:val="0D0D0D" w:themeColor="text1" w:themeTint="F2"/>
          <w:sz w:val="24"/>
          <w:szCs w:val="24"/>
          <w:lang w:val="kk-KZ"/>
        </w:rPr>
        <w:t xml:space="preserve">Қазақстан Республикасы Үкіметінің 24.05.2011 ж. №570 қаулысымен бекітілген "Ақ бұлақ" мемлекеттік бағдарламасының және Қазақстан Республикасы Үкіметінің 2012 жылғы 3 қыркүйектегі № 1134 қаулысымен бекітілген Шымкент қаласының бас жоспарының негізінде "Шымкент қаласының сумен жабдықтау және су бұру жүйелерінің 2015-2025 жылдарға инвестициялар негіздемелері" әзірленді. Инвестициялар негіздемесі "Мемсараптама" РМК филиалының 21.02.2015 ж. №19-0140/15 бұйрығымен бекітілді. Ос Инвестициялар негіздемесінің құрамында "Су ресурстары-Маркетинг" ЖШС-нің теңгеріміндегі сумен жабдықтау және су бұру жүйесін қайта құруға және жаңғыртуға 43 млрд.теңгеге инвестиция салу көзделген болса, бұл сома жыл сайынғы қымбаттау коэффициентінің есебінен 70,2 млрд.теңгені құрады. 2015-2021 жылдар кезеңінде қаржыландыруға жататын сомадан 50,52 млрд.теңге шамамен 18,5 млрд. теңге игерілді немесе 36,6% - ға орындалды. </w:t>
      </w:r>
    </w:p>
    <w:p w:rsidR="00CD1EEE" w:rsidRPr="0036389C" w:rsidRDefault="00CD1EEE" w:rsidP="0036389C">
      <w:pPr>
        <w:spacing w:after="0" w:line="240" w:lineRule="auto"/>
        <w:ind w:firstLine="709"/>
        <w:jc w:val="both"/>
        <w:rPr>
          <w:rFonts w:ascii="Times New Roman" w:hAnsi="Times New Roman" w:cs="Times New Roman"/>
          <w:color w:val="0D0D0D" w:themeColor="text1" w:themeTint="F2"/>
          <w:sz w:val="24"/>
          <w:szCs w:val="24"/>
          <w:lang w:val="kk-KZ"/>
        </w:rPr>
      </w:pPr>
    </w:p>
    <w:p w:rsidR="00CD1EEE" w:rsidRPr="0036389C" w:rsidRDefault="00CD1EEE" w:rsidP="0036389C">
      <w:pPr>
        <w:spacing w:after="0" w:line="240" w:lineRule="auto"/>
        <w:contextualSpacing/>
        <w:jc w:val="both"/>
        <w:rPr>
          <w:rFonts w:ascii="Times New Roman" w:hAnsi="Times New Roman" w:cs="Times New Roman"/>
          <w:color w:val="0D0D0D" w:themeColor="text1" w:themeTint="F2"/>
          <w:sz w:val="24"/>
          <w:szCs w:val="24"/>
        </w:rPr>
      </w:pPr>
      <w:r w:rsidRPr="0036389C">
        <w:rPr>
          <w:rFonts w:ascii="Times New Roman" w:hAnsi="Times New Roman" w:cs="Times New Roman"/>
          <w:noProof/>
          <w:color w:val="0D0D0D" w:themeColor="text1" w:themeTint="F2"/>
          <w:sz w:val="24"/>
          <w:szCs w:val="24"/>
          <w:lang w:eastAsia="ru-RU"/>
        </w:rPr>
        <w:drawing>
          <wp:inline distT="0" distB="0" distL="0" distR="0" wp14:anchorId="261FED6F" wp14:editId="31E4844E">
            <wp:extent cx="5685183" cy="2584174"/>
            <wp:effectExtent l="0" t="0" r="10795"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1EEE" w:rsidRPr="0036389C" w:rsidRDefault="00CD1EEE" w:rsidP="0036389C">
      <w:pPr>
        <w:spacing w:after="0" w:line="240" w:lineRule="auto"/>
        <w:ind w:firstLine="708"/>
        <w:jc w:val="both"/>
        <w:rPr>
          <w:rFonts w:ascii="Times New Roman" w:hAnsi="Times New Roman" w:cs="Times New Roman"/>
          <w:color w:val="0D0D0D" w:themeColor="text1" w:themeTint="F2"/>
          <w:sz w:val="24"/>
          <w:szCs w:val="24"/>
          <w:lang w:val="kk-KZ"/>
        </w:rPr>
      </w:pPr>
    </w:p>
    <w:p w:rsidR="00CD1EEE" w:rsidRPr="0036389C" w:rsidRDefault="00CD1EEE" w:rsidP="0036389C">
      <w:pPr>
        <w:spacing w:after="0" w:line="240" w:lineRule="auto"/>
        <w:ind w:firstLine="708"/>
        <w:jc w:val="both"/>
        <w:rPr>
          <w:rFonts w:ascii="Times New Roman" w:hAnsi="Times New Roman" w:cs="Times New Roman"/>
          <w:color w:val="0D0D0D" w:themeColor="text1" w:themeTint="F2"/>
          <w:sz w:val="24"/>
          <w:szCs w:val="24"/>
          <w:lang w:val="kk-KZ"/>
        </w:rPr>
      </w:pPr>
    </w:p>
    <w:p w:rsidR="00354F6D" w:rsidRPr="0036389C" w:rsidRDefault="00354F6D"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 xml:space="preserve">«Су ресурстары - Маркетинг» ЖШС-і 2009 жылдан бастап халықаралық қаржы ұйымымен - Еуропалық Қайта құру және Даму Банкімен (ЕҚДБ) сумен жабдықтау және су бұру жүйесін қайта жаңарту мен модернизациялауға инвестиция тарту бойынша ынтымақтастықта жұмыс істейді. </w:t>
      </w:r>
    </w:p>
    <w:p w:rsidR="00354F6D" w:rsidRPr="0036389C" w:rsidRDefault="00354F6D"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lastRenderedPageBreak/>
        <w:t xml:space="preserve">2009-2020 жж ЕҚДБ-мен жалпы сомасы 70,0 миллион долларға (15,4 миллиард теңге) жылдық 5,5 пайыздық мөлшерлемемен, 13 жыл мерзімге 5 келісімге қол қойылды, толық пайдаланылды. Қазақстан Республикасының Үкіметі, ЕҚДБ және «Су ресурстары - Маркетинг» ЖШС-і арасындағы үшжақты келісім негізінде ЕҚДБ «Нұрлы-Жол» бағдарламасы аясында 15 миллион еуро (5,4 миллиард теңге) қарыз қаражатын бөлді. Қазақстан Республикасының Үкіметі мемлекеттік қолдау түрінде </w:t>
      </w:r>
      <w:r w:rsidR="002002E9" w:rsidRPr="0036389C">
        <w:rPr>
          <w:rFonts w:ascii="Times New Roman" w:hAnsi="Times New Roman" w:cs="Times New Roman"/>
          <w:color w:val="0D0D0D" w:themeColor="text1" w:themeTint="F2"/>
          <w:sz w:val="24"/>
          <w:szCs w:val="24"/>
          <w:lang w:val="kk-KZ"/>
        </w:rPr>
        <w:t>4,6</w:t>
      </w:r>
      <w:r w:rsidRPr="0036389C">
        <w:rPr>
          <w:rFonts w:ascii="Times New Roman" w:hAnsi="Times New Roman" w:cs="Times New Roman"/>
          <w:color w:val="0D0D0D" w:themeColor="text1" w:themeTint="F2"/>
          <w:sz w:val="24"/>
          <w:szCs w:val="24"/>
          <w:lang w:val="kk-KZ"/>
        </w:rPr>
        <w:t xml:space="preserve"> миллиард теңге бөлінді. Несиелік келісімшарттың барлық талаптарын «Су ресурстары - Маркетинг» ЖШС-і уақытында және сапалы түрде орындайды. 2012-202</w:t>
      </w:r>
      <w:r w:rsidR="002002E9" w:rsidRPr="0036389C">
        <w:rPr>
          <w:rFonts w:ascii="Times New Roman" w:hAnsi="Times New Roman" w:cs="Times New Roman"/>
          <w:color w:val="0D0D0D" w:themeColor="text1" w:themeTint="F2"/>
          <w:sz w:val="24"/>
          <w:szCs w:val="24"/>
          <w:lang w:val="kk-KZ"/>
        </w:rPr>
        <w:t>1</w:t>
      </w:r>
      <w:r w:rsidRPr="0036389C">
        <w:rPr>
          <w:rFonts w:ascii="Times New Roman" w:hAnsi="Times New Roman" w:cs="Times New Roman"/>
          <w:color w:val="0D0D0D" w:themeColor="text1" w:themeTint="F2"/>
          <w:sz w:val="24"/>
          <w:szCs w:val="24"/>
          <w:lang w:val="kk-KZ"/>
        </w:rPr>
        <w:t xml:space="preserve"> жж шарттың белгіленген кестесіне сәйкес жалпы қайтару сомасының </w:t>
      </w:r>
      <w:r w:rsidR="0036389C" w:rsidRPr="0036389C">
        <w:rPr>
          <w:rFonts w:ascii="Times New Roman" w:hAnsi="Times New Roman" w:cs="Times New Roman"/>
          <w:color w:val="0D0D0D" w:themeColor="text1" w:themeTint="F2"/>
          <w:sz w:val="24"/>
          <w:szCs w:val="24"/>
          <w:lang w:val="kk-KZ"/>
        </w:rPr>
        <w:t>11,4</w:t>
      </w:r>
      <w:r w:rsidRPr="0036389C">
        <w:rPr>
          <w:rFonts w:ascii="Times New Roman" w:hAnsi="Times New Roman" w:cs="Times New Roman"/>
          <w:color w:val="0D0D0D" w:themeColor="text1" w:themeTint="F2"/>
          <w:sz w:val="24"/>
          <w:szCs w:val="24"/>
          <w:lang w:val="kk-KZ"/>
        </w:rPr>
        <w:t xml:space="preserve"> млрд.теңгесі қайтарылды. </w:t>
      </w:r>
    </w:p>
    <w:p w:rsidR="005B1B9B" w:rsidRPr="0036389C" w:rsidRDefault="005B1B9B" w:rsidP="0036389C">
      <w:pPr>
        <w:spacing w:after="0" w:line="240" w:lineRule="auto"/>
        <w:jc w:val="both"/>
        <w:rPr>
          <w:rFonts w:ascii="Times New Roman" w:hAnsi="Times New Roman" w:cs="Times New Roman"/>
          <w:color w:val="0D0D0D" w:themeColor="text1" w:themeTint="F2"/>
          <w:sz w:val="24"/>
          <w:szCs w:val="24"/>
          <w:lang w:val="kk-KZ"/>
        </w:rPr>
      </w:pPr>
    </w:p>
    <w:p w:rsidR="00067999" w:rsidRPr="0036389C" w:rsidRDefault="00067999"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Салынған инвестициялар нәтижесінде орындалды:</w:t>
      </w:r>
    </w:p>
    <w:p w:rsidR="006811C9" w:rsidRPr="0036389C" w:rsidRDefault="006811C9" w:rsidP="0036389C">
      <w:pPr>
        <w:spacing w:after="0" w:line="240" w:lineRule="auto"/>
        <w:jc w:val="both"/>
        <w:rPr>
          <w:rFonts w:ascii="Times New Roman" w:hAnsi="Times New Roman" w:cs="Times New Roman"/>
          <w:color w:val="0D0D0D" w:themeColor="text1" w:themeTint="F2"/>
          <w:sz w:val="24"/>
          <w:szCs w:val="24"/>
          <w:lang w:val="kk-KZ"/>
        </w:rPr>
      </w:pPr>
    </w:p>
    <w:tbl>
      <w:tblPr>
        <w:tblW w:w="9931" w:type="dxa"/>
        <w:tblCellMar>
          <w:left w:w="0" w:type="dxa"/>
          <w:right w:w="0" w:type="dxa"/>
        </w:tblCellMar>
        <w:tblLook w:val="0600" w:firstRow="0" w:lastRow="0" w:firstColumn="0" w:lastColumn="0" w:noHBand="1" w:noVBand="1"/>
      </w:tblPr>
      <w:tblGrid>
        <w:gridCol w:w="434"/>
        <w:gridCol w:w="3685"/>
        <w:gridCol w:w="1134"/>
        <w:gridCol w:w="851"/>
        <w:gridCol w:w="1134"/>
        <w:gridCol w:w="850"/>
        <w:gridCol w:w="1134"/>
        <w:gridCol w:w="709"/>
      </w:tblGrid>
      <w:tr w:rsidR="00B75FFE" w:rsidRPr="0036389C" w:rsidTr="00B75FFE">
        <w:trPr>
          <w:trHeight w:val="297"/>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56311" w:rsidRPr="0036389C" w:rsidRDefault="00456311" w:rsidP="0036389C">
            <w:pPr>
              <w:spacing w:after="0" w:line="240" w:lineRule="auto"/>
              <w:jc w:val="center"/>
              <w:rPr>
                <w:rFonts w:ascii="Times New Roman" w:hAnsi="Times New Roman" w:cs="Times New Roman"/>
                <w:b/>
                <w:color w:val="0D0D0D" w:themeColor="text1" w:themeTint="F2"/>
                <w:sz w:val="24"/>
                <w:szCs w:val="24"/>
              </w:rPr>
            </w:pPr>
            <w:r w:rsidRPr="0036389C">
              <w:rPr>
                <w:rFonts w:ascii="Times New Roman" w:hAnsi="Times New Roman" w:cs="Times New Roman"/>
                <w:b/>
                <w:bCs/>
                <w:color w:val="0D0D0D" w:themeColor="text1" w:themeTint="F2"/>
                <w:sz w:val="24"/>
                <w:szCs w:val="24"/>
              </w:rPr>
              <w:t xml:space="preserve">№ </w:t>
            </w:r>
            <w:proofErr w:type="gramStart"/>
            <w:r w:rsidRPr="0036389C">
              <w:rPr>
                <w:rFonts w:ascii="Times New Roman" w:hAnsi="Times New Roman" w:cs="Times New Roman"/>
                <w:b/>
                <w:bCs/>
                <w:color w:val="0D0D0D" w:themeColor="text1" w:themeTint="F2"/>
                <w:sz w:val="24"/>
                <w:szCs w:val="24"/>
              </w:rPr>
              <w:t>п</w:t>
            </w:r>
            <w:proofErr w:type="gramEnd"/>
            <w:r w:rsidRPr="0036389C">
              <w:rPr>
                <w:rFonts w:ascii="Times New Roman" w:hAnsi="Times New Roman" w:cs="Times New Roman"/>
                <w:b/>
                <w:bCs/>
                <w:color w:val="0D0D0D" w:themeColor="text1" w:themeTint="F2"/>
                <w:sz w:val="24"/>
                <w:szCs w:val="24"/>
              </w:rPr>
              <w:t>/п</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56311" w:rsidRPr="0036389C" w:rsidRDefault="00456311"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Инвестициялық бағдарлама бөлімдерінің 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56311" w:rsidRPr="0036389C" w:rsidRDefault="00456311" w:rsidP="0036389C">
            <w:pPr>
              <w:spacing w:after="0" w:line="240" w:lineRule="auto"/>
              <w:jc w:val="center"/>
              <w:rPr>
                <w:rFonts w:ascii="Times New Roman" w:hAnsi="Times New Roman" w:cs="Times New Roman"/>
                <w:b/>
                <w:color w:val="0D0D0D" w:themeColor="text1" w:themeTint="F2"/>
                <w:sz w:val="24"/>
                <w:szCs w:val="24"/>
              </w:rPr>
            </w:pPr>
            <w:r w:rsidRPr="0036389C">
              <w:rPr>
                <w:rFonts w:ascii="Times New Roman" w:hAnsi="Times New Roman" w:cs="Times New Roman"/>
                <w:b/>
                <w:bCs/>
                <w:color w:val="0D0D0D" w:themeColor="text1" w:themeTint="F2"/>
                <w:sz w:val="24"/>
                <w:szCs w:val="24"/>
                <w:lang w:val="kk-KZ"/>
              </w:rPr>
              <w:t>Өлшем бірлігі</w:t>
            </w:r>
            <w:r w:rsidRPr="0036389C">
              <w:rPr>
                <w:rFonts w:ascii="Times New Roman" w:hAnsi="Times New Roman" w:cs="Times New Roman"/>
                <w:b/>
                <w:bCs/>
                <w:color w:val="0D0D0D" w:themeColor="text1" w:themeTint="F2"/>
                <w:sz w:val="24"/>
                <w:szCs w:val="24"/>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56311" w:rsidRPr="0036389C" w:rsidRDefault="00456311"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Жоспар</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56311" w:rsidRPr="0036389C" w:rsidRDefault="00456311"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Нақты</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456311" w:rsidRPr="0036389C" w:rsidRDefault="00456311" w:rsidP="0036389C">
            <w:pPr>
              <w:spacing w:after="0" w:line="240" w:lineRule="auto"/>
              <w:jc w:val="center"/>
              <w:rPr>
                <w:rFonts w:ascii="Times New Roman" w:hAnsi="Times New Roman" w:cs="Times New Roman"/>
                <w:b/>
                <w:color w:val="0D0D0D" w:themeColor="text1" w:themeTint="F2"/>
                <w:sz w:val="24"/>
                <w:szCs w:val="24"/>
              </w:rPr>
            </w:pPr>
            <w:r w:rsidRPr="0036389C">
              <w:rPr>
                <w:rFonts w:ascii="Times New Roman" w:hAnsi="Times New Roman" w:cs="Times New Roman"/>
                <w:b/>
                <w:bCs/>
                <w:color w:val="0D0D0D" w:themeColor="text1" w:themeTint="F2"/>
                <w:sz w:val="24"/>
                <w:szCs w:val="24"/>
              </w:rPr>
              <w:t>%</w:t>
            </w:r>
          </w:p>
        </w:tc>
      </w:tr>
      <w:tr w:rsidR="00B75FFE" w:rsidRPr="0036389C" w:rsidTr="00B75FFE">
        <w:trPr>
          <w:trHeight w:val="348"/>
        </w:trPr>
        <w:tc>
          <w:tcPr>
            <w:tcW w:w="434" w:type="dxa"/>
            <w:vMerge/>
            <w:tcBorders>
              <w:top w:val="single" w:sz="4" w:space="0" w:color="000000"/>
              <w:left w:val="single" w:sz="4" w:space="0" w:color="000000"/>
              <w:bottom w:val="single" w:sz="4" w:space="0" w:color="000000"/>
              <w:right w:val="single" w:sz="4" w:space="0" w:color="000000"/>
            </w:tcBorders>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саны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со</w:t>
            </w:r>
            <w:proofErr w:type="spellStart"/>
            <w:r w:rsidRPr="0036389C">
              <w:rPr>
                <w:rFonts w:ascii="Times New Roman" w:hAnsi="Times New Roman" w:cs="Times New Roman"/>
                <w:b/>
                <w:bCs/>
                <w:color w:val="0D0D0D" w:themeColor="text1" w:themeTint="F2"/>
                <w:sz w:val="24"/>
                <w:szCs w:val="24"/>
              </w:rPr>
              <w:t>мма</w:t>
            </w:r>
            <w:proofErr w:type="spellEnd"/>
            <w:r w:rsidRPr="0036389C">
              <w:rPr>
                <w:rFonts w:ascii="Times New Roman" w:hAnsi="Times New Roman" w:cs="Times New Roman"/>
                <w:b/>
                <w:bCs/>
                <w:color w:val="0D0D0D" w:themeColor="text1" w:themeTint="F2"/>
                <w:sz w:val="24"/>
                <w:szCs w:val="24"/>
                <w:lang w:val="kk-KZ"/>
              </w:rPr>
              <w:t>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саны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со</w:t>
            </w:r>
            <w:proofErr w:type="spellStart"/>
            <w:r w:rsidRPr="0036389C">
              <w:rPr>
                <w:rFonts w:ascii="Times New Roman" w:hAnsi="Times New Roman" w:cs="Times New Roman"/>
                <w:b/>
                <w:bCs/>
                <w:color w:val="0D0D0D" w:themeColor="text1" w:themeTint="F2"/>
                <w:sz w:val="24"/>
                <w:szCs w:val="24"/>
              </w:rPr>
              <w:t>мма</w:t>
            </w:r>
            <w:proofErr w:type="spellEnd"/>
            <w:r w:rsidRPr="0036389C">
              <w:rPr>
                <w:rFonts w:ascii="Times New Roman" w:hAnsi="Times New Roman" w:cs="Times New Roman"/>
                <w:b/>
                <w:bCs/>
                <w:color w:val="0D0D0D" w:themeColor="text1" w:themeTint="F2"/>
                <w:sz w:val="24"/>
                <w:szCs w:val="24"/>
                <w:lang w:val="kk-KZ"/>
              </w:rPr>
              <w:t>сы</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02336" w:rsidRPr="0036389C" w:rsidRDefault="00502336" w:rsidP="0036389C">
            <w:pPr>
              <w:spacing w:after="0" w:line="240" w:lineRule="auto"/>
              <w:jc w:val="both"/>
              <w:rPr>
                <w:rFonts w:ascii="Times New Roman" w:hAnsi="Times New Roman" w:cs="Times New Roman"/>
                <w:color w:val="0D0D0D" w:themeColor="text1" w:themeTint="F2"/>
                <w:sz w:val="24"/>
                <w:szCs w:val="24"/>
              </w:rPr>
            </w:pPr>
          </w:p>
        </w:tc>
      </w:tr>
      <w:tr w:rsidR="00B75FFE" w:rsidRPr="0036389C" w:rsidTr="00B75FFE">
        <w:trPr>
          <w:trHeight w:val="434"/>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tcPr>
          <w:p w:rsidR="00502336" w:rsidRPr="0036389C" w:rsidRDefault="00502336" w:rsidP="0036389C">
            <w:pPr>
              <w:spacing w:after="0" w:line="240" w:lineRule="auto"/>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Су қабылдағыш және сорғы құрылғылары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нысан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lang w:val="en-US"/>
              </w:rPr>
            </w:pPr>
            <w:r w:rsidRPr="0036389C">
              <w:rPr>
                <w:rFonts w:ascii="Times New Roman" w:hAnsi="Times New Roman" w:cs="Times New Roman"/>
                <w:color w:val="0D0D0D" w:themeColor="text1" w:themeTint="F2"/>
                <w:sz w:val="24"/>
                <w:szCs w:val="24"/>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lang w:val="en-US"/>
              </w:rPr>
            </w:pPr>
            <w:r w:rsidRPr="0036389C">
              <w:rPr>
                <w:rFonts w:ascii="Times New Roman" w:hAnsi="Times New Roman" w:cs="Times New Roman"/>
                <w:color w:val="0D0D0D" w:themeColor="text1" w:themeTint="F2"/>
                <w:sz w:val="24"/>
                <w:szCs w:val="24"/>
                <w:lang w:val="en-US"/>
              </w:rPr>
              <w:t>1245</w:t>
            </w:r>
            <w:r w:rsidRPr="0036389C">
              <w:rPr>
                <w:rFonts w:ascii="Times New Roman" w:hAnsi="Times New Roman" w:cs="Times New Roman"/>
                <w:color w:val="0D0D0D" w:themeColor="text1" w:themeTint="F2"/>
                <w:sz w:val="24"/>
                <w:szCs w:val="24"/>
              </w:rPr>
              <w:t>,</w:t>
            </w:r>
            <w:r w:rsidRPr="0036389C">
              <w:rPr>
                <w:rFonts w:ascii="Times New Roman" w:hAnsi="Times New Roman" w:cs="Times New Roman"/>
                <w:color w:val="0D0D0D" w:themeColor="text1" w:themeTint="F2"/>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1179,7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95</w:t>
            </w:r>
          </w:p>
        </w:tc>
      </w:tr>
      <w:tr w:rsidR="00B75FFE" w:rsidRPr="0036389C" w:rsidTr="00B75FFE">
        <w:trPr>
          <w:trHeight w:val="396"/>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tcPr>
          <w:p w:rsidR="00502336" w:rsidRPr="0036389C" w:rsidRDefault="00502336" w:rsidP="0036389C">
            <w:pPr>
              <w:spacing w:after="0" w:line="240" w:lineRule="auto"/>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Ғимараттар мен құрылғылар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lang w:val="kk-KZ"/>
              </w:rPr>
              <w:t>нысан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66,6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180</w:t>
            </w:r>
          </w:p>
        </w:tc>
      </w:tr>
      <w:tr w:rsidR="00B75FFE" w:rsidRPr="0036389C" w:rsidTr="00B75FFE">
        <w:trPr>
          <w:trHeight w:val="300"/>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tcPr>
          <w:p w:rsidR="00502336" w:rsidRPr="0036389C" w:rsidRDefault="00502336" w:rsidP="0036389C">
            <w:pPr>
              <w:spacing w:after="0" w:line="240" w:lineRule="auto"/>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Су құбыры желілерін қайта құру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proofErr w:type="spellStart"/>
            <w:r w:rsidRPr="0036389C">
              <w:rPr>
                <w:rFonts w:ascii="Times New Roman" w:hAnsi="Times New Roman" w:cs="Times New Roman"/>
                <w:color w:val="0D0D0D" w:themeColor="text1" w:themeTint="F2"/>
                <w:sz w:val="24"/>
                <w:szCs w:val="24"/>
              </w:rPr>
              <w:t>п.</w:t>
            </w:r>
            <w:proofErr w:type="gramStart"/>
            <w:r w:rsidRPr="0036389C">
              <w:rPr>
                <w:rFonts w:ascii="Times New Roman" w:hAnsi="Times New Roman" w:cs="Times New Roman"/>
                <w:color w:val="0D0D0D" w:themeColor="text1" w:themeTint="F2"/>
                <w:sz w:val="24"/>
                <w:szCs w:val="24"/>
              </w:rPr>
              <w:t>м</w:t>
            </w:r>
            <w:proofErr w:type="spellEnd"/>
            <w:proofErr w:type="gramEnd"/>
            <w:r w:rsidRPr="0036389C">
              <w:rPr>
                <w:rFonts w:ascii="Times New Roman" w:hAnsi="Times New Roman" w:cs="Times New Roman"/>
                <w:color w:val="0D0D0D" w:themeColor="text1" w:themeTint="F2"/>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13 881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633,7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27 363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684,1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108</w:t>
            </w:r>
          </w:p>
        </w:tc>
      </w:tr>
      <w:tr w:rsidR="00B75FFE" w:rsidRPr="0036389C" w:rsidTr="00B75FFE">
        <w:trPr>
          <w:trHeight w:val="157"/>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tcPr>
          <w:p w:rsidR="00502336" w:rsidRPr="0036389C" w:rsidRDefault="00502336" w:rsidP="0036389C">
            <w:pPr>
              <w:spacing w:after="0" w:line="240" w:lineRule="auto"/>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Кәріз желілерін қайта құру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proofErr w:type="spellStart"/>
            <w:r w:rsidRPr="0036389C">
              <w:rPr>
                <w:rFonts w:ascii="Times New Roman" w:hAnsi="Times New Roman" w:cs="Times New Roman"/>
                <w:color w:val="0D0D0D" w:themeColor="text1" w:themeTint="F2"/>
                <w:sz w:val="24"/>
                <w:szCs w:val="24"/>
              </w:rPr>
              <w:t>п.</w:t>
            </w:r>
            <w:proofErr w:type="gramStart"/>
            <w:r w:rsidRPr="0036389C">
              <w:rPr>
                <w:rFonts w:ascii="Times New Roman" w:hAnsi="Times New Roman" w:cs="Times New Roman"/>
                <w:color w:val="0D0D0D" w:themeColor="text1" w:themeTint="F2"/>
                <w:sz w:val="24"/>
                <w:szCs w:val="24"/>
              </w:rPr>
              <w:t>м</w:t>
            </w:r>
            <w:proofErr w:type="spellEnd"/>
            <w:proofErr w:type="gramEnd"/>
            <w:r w:rsidRPr="0036389C">
              <w:rPr>
                <w:rFonts w:ascii="Times New Roman" w:hAnsi="Times New Roman" w:cs="Times New Roman"/>
                <w:color w:val="0D0D0D" w:themeColor="text1" w:themeTint="F2"/>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3 404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631,4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3 404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648,8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103</w:t>
            </w:r>
          </w:p>
        </w:tc>
      </w:tr>
      <w:tr w:rsidR="00B75FFE" w:rsidRPr="0036389C" w:rsidTr="00B75FFE">
        <w:trPr>
          <w:trHeight w:val="357"/>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tcPr>
          <w:p w:rsidR="00502336" w:rsidRPr="0036389C" w:rsidRDefault="00502336" w:rsidP="0036389C">
            <w:pPr>
              <w:spacing w:after="0" w:line="240" w:lineRule="auto"/>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Кәріз тазалау құрылғыларын жаңғырту және абаттандыру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lang w:val="kk-KZ"/>
              </w:rPr>
              <w:t>нысан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10,3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60,4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586</w:t>
            </w:r>
          </w:p>
        </w:tc>
      </w:tr>
      <w:tr w:rsidR="00794F77" w:rsidRPr="0036389C" w:rsidTr="00B75FFE">
        <w:trPr>
          <w:trHeight w:val="357"/>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94F77"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tcPr>
          <w:p w:rsidR="00794F77" w:rsidRPr="0036389C" w:rsidRDefault="00794F77" w:rsidP="0036389C">
            <w:pPr>
              <w:spacing w:after="0" w:line="240" w:lineRule="auto"/>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Кәріз коллекторын тазалау (жуу)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94F77" w:rsidRPr="0036389C" w:rsidRDefault="00794F77" w:rsidP="0036389C">
            <w:pPr>
              <w:spacing w:after="0" w:line="240" w:lineRule="auto"/>
              <w:jc w:val="center"/>
              <w:rPr>
                <w:rFonts w:ascii="Times New Roman" w:hAnsi="Times New Roman" w:cs="Times New Roman"/>
                <w:color w:val="0D0D0D" w:themeColor="text1" w:themeTint="F2"/>
                <w:sz w:val="24"/>
                <w:szCs w:val="24"/>
                <w:lang w:val="kk-KZ"/>
              </w:rPr>
            </w:pPr>
            <w:proofErr w:type="spellStart"/>
            <w:r w:rsidRPr="0036389C">
              <w:rPr>
                <w:rFonts w:ascii="Times New Roman" w:hAnsi="Times New Roman" w:cs="Times New Roman"/>
                <w:color w:val="0D0D0D" w:themeColor="text1" w:themeTint="F2"/>
                <w:sz w:val="24"/>
                <w:szCs w:val="24"/>
              </w:rPr>
              <w:t>п.</w:t>
            </w:r>
            <w:proofErr w:type="gramStart"/>
            <w:r w:rsidRPr="0036389C">
              <w:rPr>
                <w:rFonts w:ascii="Times New Roman" w:hAnsi="Times New Roman" w:cs="Times New Roman"/>
                <w:color w:val="0D0D0D" w:themeColor="text1" w:themeTint="F2"/>
                <w:sz w:val="24"/>
                <w:szCs w:val="24"/>
              </w:rPr>
              <w:t>м</w:t>
            </w:r>
            <w:proofErr w:type="spellEnd"/>
            <w:proofErr w:type="gramEnd"/>
            <w:r w:rsidRPr="0036389C">
              <w:rPr>
                <w:rFonts w:ascii="Times New Roman" w:hAnsi="Times New Roman" w:cs="Times New Roman"/>
                <w:color w:val="0D0D0D" w:themeColor="text1" w:themeTint="F2"/>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94F77" w:rsidRPr="0036389C" w:rsidRDefault="00794F77"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94F77" w:rsidRPr="0036389C" w:rsidRDefault="00794F77"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72,9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94F77" w:rsidRPr="0036389C" w:rsidRDefault="00794F77"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1200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94F77" w:rsidRPr="0036389C" w:rsidRDefault="00794F77"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72,9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94F77" w:rsidRPr="0036389C" w:rsidRDefault="00794F77"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100</w:t>
            </w:r>
          </w:p>
        </w:tc>
      </w:tr>
      <w:tr w:rsidR="00B75FFE" w:rsidRPr="0036389C" w:rsidTr="00B75FFE">
        <w:trPr>
          <w:trHeight w:val="466"/>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tcPr>
          <w:p w:rsidR="00502336" w:rsidRPr="0036389C" w:rsidRDefault="00502336" w:rsidP="0036389C">
            <w:pPr>
              <w:spacing w:after="0" w:line="240" w:lineRule="auto"/>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Технологиялық және энергетикалық құралдарды өндіру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дана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2 393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383,7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3 055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B06377" w:rsidRDefault="00794F77" w:rsidP="00B06377">
            <w:pPr>
              <w:spacing w:after="0" w:line="240" w:lineRule="auto"/>
              <w:jc w:val="center"/>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rPr>
              <w:t>46</w:t>
            </w:r>
            <w:r w:rsidR="00B06377">
              <w:rPr>
                <w:rFonts w:ascii="Times New Roman" w:hAnsi="Times New Roman" w:cs="Times New Roman"/>
                <w:color w:val="0D0D0D" w:themeColor="text1" w:themeTint="F2"/>
                <w:sz w:val="24"/>
                <w:szCs w:val="24"/>
                <w:lang w:val="kk-KZ"/>
              </w:rPr>
              <w:t>0</w:t>
            </w:r>
            <w:r w:rsidRPr="0036389C">
              <w:rPr>
                <w:rFonts w:ascii="Times New Roman" w:hAnsi="Times New Roman" w:cs="Times New Roman"/>
                <w:color w:val="0D0D0D" w:themeColor="text1" w:themeTint="F2"/>
                <w:sz w:val="24"/>
                <w:szCs w:val="24"/>
              </w:rPr>
              <w:t>,</w:t>
            </w:r>
            <w:r w:rsidR="00B06377">
              <w:rPr>
                <w:rFonts w:ascii="Times New Roman" w:hAnsi="Times New Roman" w:cs="Times New Roman"/>
                <w:color w:val="0D0D0D" w:themeColor="text1" w:themeTint="F2"/>
                <w:sz w:val="24"/>
                <w:szCs w:val="24"/>
                <w:lang w:val="kk-KZ"/>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color w:val="0D0D0D" w:themeColor="text1" w:themeTint="F2"/>
                <w:sz w:val="24"/>
                <w:szCs w:val="24"/>
              </w:rPr>
            </w:pPr>
            <w:r w:rsidRPr="0036389C">
              <w:rPr>
                <w:rFonts w:ascii="Times New Roman" w:hAnsi="Times New Roman" w:cs="Times New Roman"/>
                <w:color w:val="0D0D0D" w:themeColor="text1" w:themeTint="F2"/>
                <w:sz w:val="24"/>
                <w:szCs w:val="24"/>
              </w:rPr>
              <w:t>319,4</w:t>
            </w:r>
          </w:p>
        </w:tc>
      </w:tr>
      <w:tr w:rsidR="00B75FFE" w:rsidRPr="0036389C" w:rsidTr="00B75FFE">
        <w:trPr>
          <w:trHeight w:val="107"/>
        </w:trPr>
        <w:tc>
          <w:tcPr>
            <w:tcW w:w="4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502336" w:rsidRPr="0036389C" w:rsidRDefault="00502336" w:rsidP="0036389C">
            <w:pPr>
              <w:spacing w:after="0" w:line="240" w:lineRule="auto"/>
              <w:jc w:val="both"/>
              <w:rPr>
                <w:rFonts w:ascii="Times New Roman" w:hAnsi="Times New Roman" w:cs="Times New Roman"/>
                <w:color w:val="0D0D0D" w:themeColor="text1" w:themeTint="F2"/>
                <w:sz w:val="24"/>
                <w:szCs w:val="24"/>
              </w:rPr>
            </w:pPr>
            <w:r w:rsidRPr="0036389C">
              <w:rPr>
                <w:rFonts w:ascii="Times New Roman" w:hAnsi="Times New Roman" w:cs="Times New Roman"/>
                <w:bCs/>
                <w:color w:val="0D0D0D" w:themeColor="text1" w:themeTint="F2"/>
                <w:sz w:val="24"/>
                <w:szCs w:val="24"/>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6811C9"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color w:val="0D0D0D" w:themeColor="text1" w:themeTint="F2"/>
                <w:sz w:val="24"/>
                <w:szCs w:val="24"/>
                <w:lang w:val="kk-KZ"/>
              </w:rPr>
              <w:t>Барлығы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both"/>
              <w:rPr>
                <w:rFonts w:ascii="Times New Roman" w:hAnsi="Times New Roman" w:cs="Times New Roman"/>
                <w:color w:val="0D0D0D" w:themeColor="text1" w:themeTint="F2"/>
                <w:sz w:val="24"/>
                <w:szCs w:val="24"/>
              </w:rPr>
            </w:pPr>
            <w:r w:rsidRPr="0036389C">
              <w:rPr>
                <w:rFonts w:ascii="Times New Roman" w:hAnsi="Times New Roman" w:cs="Times New Roman"/>
                <w:bCs/>
                <w:color w:val="0D0D0D" w:themeColor="text1" w:themeTint="F2"/>
                <w:sz w:val="24"/>
                <w:szCs w:val="2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both"/>
              <w:rPr>
                <w:rFonts w:ascii="Times New Roman" w:hAnsi="Times New Roman" w:cs="Times New Roman"/>
                <w:color w:val="0D0D0D" w:themeColor="text1" w:themeTint="F2"/>
                <w:sz w:val="24"/>
                <w:szCs w:val="24"/>
              </w:rPr>
            </w:pPr>
            <w:r w:rsidRPr="0036389C">
              <w:rPr>
                <w:rFonts w:ascii="Times New Roman" w:hAnsi="Times New Roman" w:cs="Times New Roman"/>
                <w:bCs/>
                <w:color w:val="0D0D0D" w:themeColor="text1" w:themeTint="F2"/>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3044,3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502336" w:rsidP="0036389C">
            <w:pPr>
              <w:spacing w:after="0" w:line="240" w:lineRule="auto"/>
              <w:jc w:val="center"/>
              <w:rPr>
                <w:rFonts w:ascii="Times New Roman" w:hAnsi="Times New Roman" w:cs="Times New Roman"/>
                <w:b/>
                <w:color w:val="0D0D0D" w:themeColor="text1" w:themeTint="F2"/>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B06377">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3226,</w:t>
            </w:r>
            <w:r w:rsidR="00B06377">
              <w:rPr>
                <w:rFonts w:ascii="Times New Roman" w:hAnsi="Times New Roman" w:cs="Times New Roman"/>
                <w:b/>
                <w:bCs/>
                <w:color w:val="0D0D0D" w:themeColor="text1" w:themeTint="F2"/>
                <w:sz w:val="24"/>
                <w:szCs w:val="24"/>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rsidR="00502336" w:rsidRPr="0036389C" w:rsidRDefault="00794F77"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106</w:t>
            </w:r>
          </w:p>
        </w:tc>
      </w:tr>
    </w:tbl>
    <w:p w:rsidR="001D503A" w:rsidRPr="0036389C" w:rsidRDefault="001D503A" w:rsidP="0036389C">
      <w:pPr>
        <w:spacing w:after="0" w:line="240" w:lineRule="auto"/>
        <w:jc w:val="both"/>
        <w:rPr>
          <w:rFonts w:ascii="Times New Roman" w:hAnsi="Times New Roman" w:cs="Times New Roman"/>
          <w:color w:val="0D0D0D" w:themeColor="text1" w:themeTint="F2"/>
          <w:sz w:val="24"/>
          <w:szCs w:val="24"/>
          <w:lang w:val="kk-KZ"/>
        </w:rPr>
      </w:pPr>
    </w:p>
    <w:p w:rsidR="00C0690A" w:rsidRPr="0036389C" w:rsidRDefault="00C0690A" w:rsidP="0036389C">
      <w:pPr>
        <w:spacing w:after="0" w:line="240" w:lineRule="auto"/>
        <w:jc w:val="both"/>
        <w:rPr>
          <w:rFonts w:ascii="Times New Roman" w:hAnsi="Times New Roman" w:cs="Times New Roman"/>
          <w:color w:val="0D0D0D" w:themeColor="text1" w:themeTint="F2"/>
          <w:sz w:val="24"/>
          <w:szCs w:val="24"/>
          <w:lang w:val="kk-KZ"/>
        </w:rPr>
      </w:pPr>
    </w:p>
    <w:p w:rsidR="00430037" w:rsidRPr="0036389C" w:rsidRDefault="00430037" w:rsidP="0036389C">
      <w:p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eastAsia="Meiryo UI" w:hAnsi="Times New Roman" w:cs="Times New Roman"/>
          <w:bCs/>
          <w:iCs/>
          <w:color w:val="0D0D0D" w:themeColor="text1" w:themeTint="F2"/>
          <w:kern w:val="24"/>
          <w:sz w:val="24"/>
          <w:szCs w:val="24"/>
          <w:u w:val="single"/>
          <w:lang w:val="kk-KZ"/>
        </w:rPr>
        <w:t xml:space="preserve">Салынған инвестициялар </w:t>
      </w:r>
      <w:r w:rsidR="00C0690A" w:rsidRPr="0036389C">
        <w:rPr>
          <w:rFonts w:ascii="Times New Roman" w:eastAsia="Meiryo UI" w:hAnsi="Times New Roman" w:cs="Times New Roman"/>
          <w:bCs/>
          <w:iCs/>
          <w:color w:val="0D0D0D" w:themeColor="text1" w:themeTint="F2"/>
          <w:kern w:val="24"/>
          <w:sz w:val="24"/>
          <w:szCs w:val="24"/>
          <w:u w:val="single"/>
          <w:lang w:val="kk-KZ"/>
        </w:rPr>
        <w:t>(1998-2021</w:t>
      </w:r>
      <w:r w:rsidR="00850244" w:rsidRPr="0036389C">
        <w:rPr>
          <w:rFonts w:ascii="Times New Roman" w:eastAsia="Meiryo UI" w:hAnsi="Times New Roman" w:cs="Times New Roman"/>
          <w:bCs/>
          <w:iCs/>
          <w:color w:val="0D0D0D" w:themeColor="text1" w:themeTint="F2"/>
          <w:kern w:val="24"/>
          <w:sz w:val="24"/>
          <w:szCs w:val="24"/>
          <w:u w:val="single"/>
          <w:lang w:val="kk-KZ"/>
        </w:rPr>
        <w:t xml:space="preserve">жж) </w:t>
      </w:r>
      <w:r w:rsidRPr="0036389C">
        <w:rPr>
          <w:rFonts w:ascii="Times New Roman" w:eastAsia="Meiryo UI" w:hAnsi="Times New Roman" w:cs="Times New Roman"/>
          <w:bCs/>
          <w:iCs/>
          <w:color w:val="0D0D0D" w:themeColor="text1" w:themeTint="F2"/>
          <w:kern w:val="24"/>
          <w:sz w:val="24"/>
          <w:szCs w:val="24"/>
          <w:u w:val="single"/>
          <w:lang w:val="kk-KZ"/>
        </w:rPr>
        <w:t>нәтижесінде қол жеткізілді:</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Халықты 24 сағат тоқтаусыз сапалы ауыз сумен қамтамасыз етуге қол жеткізілді;</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Сарқынды суларды тоқтаусыз тасымалдап, толық тазартуға қол жеткізілді;</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Тозығы жеткен су құбырларының тозу деңгейі 68,0%-дан 47,02%-ға төмендеді;</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Тозығы жеткен кәріз құбырларының тозу деңгейі 79,4%-дан 77,01%-ға төмендеді;</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Нормативтік-техникалық су шығындары 38,1%-дан 16,3</w:t>
      </w:r>
      <w:r w:rsidR="00F90964" w:rsidRPr="0036389C">
        <w:rPr>
          <w:rFonts w:ascii="Times New Roman" w:hAnsi="Times New Roman" w:cs="Times New Roman"/>
          <w:color w:val="0D0D0D" w:themeColor="text1" w:themeTint="F2"/>
          <w:sz w:val="24"/>
          <w:szCs w:val="24"/>
          <w:lang w:val="kk-KZ"/>
        </w:rPr>
        <w:t>4</w:t>
      </w:r>
      <w:r w:rsidRPr="0036389C">
        <w:rPr>
          <w:rFonts w:ascii="Times New Roman" w:hAnsi="Times New Roman" w:cs="Times New Roman"/>
          <w:color w:val="0D0D0D" w:themeColor="text1" w:themeTint="F2"/>
          <w:sz w:val="24"/>
          <w:szCs w:val="24"/>
          <w:lang w:val="kk-KZ"/>
        </w:rPr>
        <w:t>-ға дейін төмендеді;</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Бір текше метр су ды көтеріп тұтынушыға жеткізуге жұмсалатын электр энергиясының үлестік шығыны 0,87 КВт-тан 0,061 КВт-қа дейін қысқарды;</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Су құбырларындағы апаттық жағдай 0,66 жағдай/км-ден 0,2</w:t>
      </w:r>
      <w:r w:rsidR="00794F77" w:rsidRPr="0036389C">
        <w:rPr>
          <w:rFonts w:ascii="Times New Roman" w:hAnsi="Times New Roman" w:cs="Times New Roman"/>
          <w:color w:val="0D0D0D" w:themeColor="text1" w:themeTint="F2"/>
          <w:sz w:val="24"/>
          <w:szCs w:val="24"/>
          <w:lang w:val="kk-KZ"/>
        </w:rPr>
        <w:t>4</w:t>
      </w:r>
      <w:r w:rsidRPr="0036389C">
        <w:rPr>
          <w:rFonts w:ascii="Times New Roman" w:hAnsi="Times New Roman" w:cs="Times New Roman"/>
          <w:color w:val="0D0D0D" w:themeColor="text1" w:themeTint="F2"/>
          <w:sz w:val="24"/>
          <w:szCs w:val="24"/>
          <w:lang w:val="kk-KZ"/>
        </w:rPr>
        <w:t xml:space="preserve"> жағдай/км-ге дейін азайды;</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Кәріз желілеріндегі бітелу жағдайы 6,0 жағдай/км-ден 2,5 жағдай/км-ге дейін азайды.</w:t>
      </w:r>
    </w:p>
    <w:p w:rsidR="00C0690A" w:rsidRPr="0036389C" w:rsidRDefault="00C0690A" w:rsidP="0036389C">
      <w:pPr>
        <w:pStyle w:val="a5"/>
        <w:numPr>
          <w:ilvl w:val="0"/>
          <w:numId w:val="11"/>
        </w:numPr>
        <w:spacing w:after="0" w:line="240" w:lineRule="auto"/>
        <w:ind w:left="0" w:firstLine="0"/>
        <w:jc w:val="both"/>
        <w:rPr>
          <w:rFonts w:ascii="Times New Roman" w:eastAsia="Meiryo UI" w:hAnsi="Times New Roman" w:cs="Times New Roman"/>
          <w:bCs/>
          <w:iCs/>
          <w:color w:val="0D0D0D" w:themeColor="text1" w:themeTint="F2"/>
          <w:kern w:val="24"/>
          <w:sz w:val="24"/>
          <w:szCs w:val="24"/>
          <w:lang w:val="kk-KZ"/>
        </w:rPr>
      </w:pPr>
      <w:r w:rsidRPr="0036389C">
        <w:rPr>
          <w:rFonts w:ascii="Times New Roman" w:eastAsia="Meiryo UI" w:hAnsi="Times New Roman" w:cs="Times New Roman"/>
          <w:bCs/>
          <w:iCs/>
          <w:color w:val="0D0D0D" w:themeColor="text1" w:themeTint="F2"/>
          <w:kern w:val="24"/>
          <w:sz w:val="24"/>
          <w:szCs w:val="24"/>
          <w:lang w:val="kk-KZ"/>
        </w:rPr>
        <w:t>тұтынушыларды есептегіш құралдарымен жүз пайыз қамтудың есебінен 1 адамға су пайдалану тәулігіне 456 литрден 121 литрге дейін төмендеді;</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eastAsia="Meiryo UI" w:hAnsi="Times New Roman" w:cs="Times New Roman"/>
          <w:bCs/>
          <w:iCs/>
          <w:color w:val="0D0D0D" w:themeColor="text1" w:themeTint="F2"/>
          <w:kern w:val="24"/>
          <w:sz w:val="24"/>
          <w:szCs w:val="24"/>
          <w:lang w:val="kk-KZ"/>
        </w:rPr>
        <w:t>тазарту құрылыстарын жаңғыртуда экологиялық талаптарды сақтау;</w:t>
      </w:r>
    </w:p>
    <w:p w:rsidR="00C0690A" w:rsidRPr="0036389C" w:rsidRDefault="00C0690A" w:rsidP="0036389C">
      <w:pPr>
        <w:pStyle w:val="a5"/>
        <w:numPr>
          <w:ilvl w:val="0"/>
          <w:numId w:val="11"/>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kern w:val="24"/>
          <w:sz w:val="24"/>
          <w:szCs w:val="24"/>
          <w:lang w:val="kk-KZ"/>
        </w:rPr>
        <w:t>канализация қалдықтарынан биогаз алып, одан жылына 3,5 млн. кВт электр энергиясын алуға қол жеткізіліп, 50% қажеттілікті жаптық және жағымсыз иістен құтылдық.</w:t>
      </w:r>
    </w:p>
    <w:p w:rsidR="004F083D" w:rsidRPr="0036389C" w:rsidRDefault="004F083D" w:rsidP="0036389C">
      <w:pPr>
        <w:spacing w:after="0" w:line="240" w:lineRule="auto"/>
        <w:ind w:firstLine="708"/>
        <w:jc w:val="both"/>
        <w:textAlignment w:val="baseline"/>
        <w:outlineLvl w:val="0"/>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 xml:space="preserve">«Су ресурстары-Маркетинг» ЖШС-нің нысандарында </w:t>
      </w:r>
      <w:r w:rsidR="00875D8D" w:rsidRPr="0036389C">
        <w:rPr>
          <w:rFonts w:ascii="Times New Roman" w:hAnsi="Times New Roman" w:cs="Times New Roman"/>
          <w:color w:val="0D0D0D" w:themeColor="text1" w:themeTint="F2"/>
          <w:sz w:val="24"/>
          <w:szCs w:val="24"/>
          <w:lang w:val="kk-KZ"/>
        </w:rPr>
        <w:t xml:space="preserve"> </w:t>
      </w:r>
      <w:r w:rsidRPr="0036389C">
        <w:rPr>
          <w:rFonts w:ascii="Times New Roman" w:hAnsi="Times New Roman" w:cs="Times New Roman"/>
          <w:color w:val="0D0D0D" w:themeColor="text1" w:themeTint="F2"/>
          <w:sz w:val="24"/>
          <w:szCs w:val="24"/>
          <w:lang w:val="kk-KZ"/>
        </w:rPr>
        <w:t xml:space="preserve">Қазақстан Республикасының </w:t>
      </w:r>
      <w:r w:rsidRPr="0036389C">
        <w:rPr>
          <w:rFonts w:ascii="Times New Roman" w:hAnsi="Times New Roman" w:cs="Times New Roman"/>
          <w:bCs/>
          <w:color w:val="0D0D0D" w:themeColor="text1" w:themeTint="F2"/>
          <w:sz w:val="24"/>
          <w:szCs w:val="24"/>
          <w:lang w:val="kk-KZ"/>
        </w:rPr>
        <w:t>цифрлық даму, инновациялар және аэроғарыш өнеркәсібі министрі Б.Б.Мусин</w:t>
      </w:r>
      <w:r w:rsidR="003058CF" w:rsidRPr="0036389C">
        <w:rPr>
          <w:rFonts w:ascii="Times New Roman" w:hAnsi="Times New Roman" w:cs="Times New Roman"/>
          <w:bCs/>
          <w:color w:val="0D0D0D" w:themeColor="text1" w:themeTint="F2"/>
          <w:sz w:val="24"/>
          <w:szCs w:val="24"/>
          <w:lang w:val="kk-KZ"/>
        </w:rPr>
        <w:t xml:space="preserve">, </w:t>
      </w:r>
      <w:r w:rsidR="002A4FDF" w:rsidRPr="0036389C">
        <w:rPr>
          <w:rFonts w:ascii="Times New Roman" w:hAnsi="Times New Roman" w:cs="Times New Roman"/>
          <w:bCs/>
          <w:color w:val="0D0D0D" w:themeColor="text1" w:themeTint="F2"/>
          <w:sz w:val="24"/>
          <w:szCs w:val="24"/>
          <w:lang w:val="kk-KZ"/>
        </w:rPr>
        <w:t xml:space="preserve"> Шымкент қаласының әкімі</w:t>
      </w:r>
      <w:r w:rsidRPr="0036389C">
        <w:rPr>
          <w:rFonts w:ascii="Times New Roman" w:hAnsi="Times New Roman" w:cs="Times New Roman"/>
          <w:bCs/>
          <w:color w:val="0D0D0D" w:themeColor="text1" w:themeTint="F2"/>
          <w:sz w:val="24"/>
          <w:szCs w:val="24"/>
          <w:lang w:val="kk-KZ"/>
        </w:rPr>
        <w:t xml:space="preserve"> </w:t>
      </w:r>
      <w:r w:rsidR="002A4FDF" w:rsidRPr="0036389C">
        <w:rPr>
          <w:rFonts w:ascii="Times New Roman" w:hAnsi="Times New Roman" w:cs="Times New Roman"/>
          <w:bCs/>
          <w:color w:val="0D0D0D" w:themeColor="text1" w:themeTint="F2"/>
          <w:sz w:val="24"/>
          <w:szCs w:val="24"/>
          <w:lang w:val="kk-KZ"/>
        </w:rPr>
        <w:t>М.Айтенов</w:t>
      </w:r>
      <w:r w:rsidR="005115B0" w:rsidRPr="0036389C">
        <w:rPr>
          <w:rFonts w:ascii="Times New Roman" w:hAnsi="Times New Roman" w:cs="Times New Roman"/>
          <w:bCs/>
          <w:color w:val="0D0D0D" w:themeColor="text1" w:themeTint="F2"/>
          <w:sz w:val="24"/>
          <w:szCs w:val="24"/>
          <w:lang w:val="kk-KZ"/>
        </w:rPr>
        <w:t xml:space="preserve">, </w:t>
      </w:r>
      <w:r w:rsidR="002A4FDF" w:rsidRPr="0036389C">
        <w:rPr>
          <w:rFonts w:ascii="Times New Roman" w:hAnsi="Times New Roman" w:cs="Times New Roman"/>
          <w:bCs/>
          <w:color w:val="0D0D0D" w:themeColor="text1" w:themeTint="F2"/>
          <w:sz w:val="24"/>
          <w:szCs w:val="24"/>
          <w:lang w:val="kk-KZ"/>
        </w:rPr>
        <w:t xml:space="preserve"> </w:t>
      </w:r>
      <w:r w:rsidR="005115B0" w:rsidRPr="0036389C">
        <w:rPr>
          <w:rFonts w:ascii="Times New Roman" w:eastAsia="Times New Roman" w:hAnsi="Times New Roman" w:cs="Times New Roman"/>
          <w:color w:val="0D0D0D" w:themeColor="text1" w:themeTint="F2"/>
          <w:kern w:val="36"/>
          <w:sz w:val="24"/>
          <w:szCs w:val="24"/>
          <w:lang w:val="kk-KZ" w:eastAsia="ru-RU"/>
        </w:rPr>
        <w:t xml:space="preserve">"Тұрғын үй-коммуналдық шаруашылығын жаңғырту мен дамытудың қазақстандық орталығы" акционерлік қоғамы басқарма төрағасының орынбасары Н.Серіков </w:t>
      </w:r>
      <w:r w:rsidRPr="0036389C">
        <w:rPr>
          <w:rFonts w:ascii="Times New Roman" w:hAnsi="Times New Roman" w:cs="Times New Roman"/>
          <w:color w:val="0D0D0D" w:themeColor="text1" w:themeTint="F2"/>
          <w:sz w:val="24"/>
          <w:szCs w:val="24"/>
          <w:lang w:val="kk-KZ"/>
        </w:rPr>
        <w:t>кәсіпорынның жұмысымен танысты.</w:t>
      </w:r>
    </w:p>
    <w:p w:rsidR="00536ECC" w:rsidRPr="0036389C" w:rsidRDefault="004F083D" w:rsidP="003853CF">
      <w:pPr>
        <w:spacing w:after="0" w:line="240" w:lineRule="auto"/>
        <w:ind w:firstLine="567"/>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 xml:space="preserve">Кәсіпорын тәжірибесімен Қазақстанның барлық қалаларының, Беларусь, Өзбекстан (Ташкент қаласы, Наманган облысы), Қырғызстан (Бішкек және барлық облыс орталықтары) елдерінен су шаруалығындағы кәсіпорындардың өкілдері танысты. </w:t>
      </w:r>
      <w:r w:rsidRPr="0036389C">
        <w:rPr>
          <w:rFonts w:ascii="Times New Roman" w:hAnsi="Times New Roman" w:cs="Times New Roman"/>
          <w:color w:val="0D0D0D" w:themeColor="text1" w:themeTint="F2"/>
          <w:sz w:val="24"/>
          <w:szCs w:val="24"/>
          <w:lang w:val="kk-KZ"/>
        </w:rPr>
        <w:lastRenderedPageBreak/>
        <w:t>Сонымен қатар, АҚШ, Япония, Қытай, Туркия, Ресей және тағы басқа алыс-жақын шетелдерінен делегациялар кәсіпорын жетістіктерімен танысты.</w:t>
      </w:r>
    </w:p>
    <w:p w:rsidR="00A81592" w:rsidRPr="0036389C" w:rsidRDefault="00BF4838" w:rsidP="0036389C">
      <w:pPr>
        <w:spacing w:after="0" w:line="240" w:lineRule="auto"/>
        <w:ind w:firstLine="567"/>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Мекеме</w:t>
      </w:r>
      <w:r w:rsidR="00A81592" w:rsidRPr="0036389C">
        <w:rPr>
          <w:rFonts w:ascii="Times New Roman" w:hAnsi="Times New Roman" w:cs="Times New Roman"/>
          <w:color w:val="0D0D0D" w:themeColor="text1" w:themeTint="F2"/>
          <w:sz w:val="24"/>
          <w:szCs w:val="24"/>
          <w:lang w:val="kk-KZ"/>
        </w:rPr>
        <w:t xml:space="preserve"> бұқаралық ақпараттық құралдары арқылы мекеме қоғаммен тығыз байланыста. «Медиа жоспарға» сәйкес бұқаралық ақпарат құралдарында мекеменің жұмысы туралы 1</w:t>
      </w:r>
      <w:r w:rsidR="00700A9E" w:rsidRPr="0036389C">
        <w:rPr>
          <w:rFonts w:ascii="Times New Roman" w:hAnsi="Times New Roman" w:cs="Times New Roman"/>
          <w:color w:val="0D0D0D" w:themeColor="text1" w:themeTint="F2"/>
          <w:sz w:val="24"/>
          <w:szCs w:val="24"/>
          <w:lang w:val="kk-KZ"/>
        </w:rPr>
        <w:t>23</w:t>
      </w:r>
      <w:r w:rsidR="00A81592" w:rsidRPr="0036389C">
        <w:rPr>
          <w:rFonts w:ascii="Times New Roman" w:hAnsi="Times New Roman" w:cs="Times New Roman"/>
          <w:color w:val="0D0D0D" w:themeColor="text1" w:themeTint="F2"/>
          <w:sz w:val="24"/>
          <w:szCs w:val="24"/>
          <w:lang w:val="kk-KZ"/>
        </w:rPr>
        <w:t xml:space="preserve"> мақала жарияланған. Хабар, Қазақстан, Отырар, Евразия телеарналарында қаланы сумен жабдықтау және су бұру жүйесінің проблемалық мәселелері бойынша 6</w:t>
      </w:r>
      <w:r w:rsidR="00700A9E" w:rsidRPr="0036389C">
        <w:rPr>
          <w:rFonts w:ascii="Times New Roman" w:hAnsi="Times New Roman" w:cs="Times New Roman"/>
          <w:color w:val="0D0D0D" w:themeColor="text1" w:themeTint="F2"/>
          <w:sz w:val="24"/>
          <w:szCs w:val="24"/>
          <w:lang w:val="kk-KZ"/>
        </w:rPr>
        <w:t>5</w:t>
      </w:r>
      <w:r w:rsidR="00A81592" w:rsidRPr="0036389C">
        <w:rPr>
          <w:rFonts w:ascii="Times New Roman" w:hAnsi="Times New Roman" w:cs="Times New Roman"/>
          <w:color w:val="0D0D0D" w:themeColor="text1" w:themeTint="F2"/>
          <w:sz w:val="24"/>
          <w:szCs w:val="24"/>
          <w:lang w:val="kk-KZ"/>
        </w:rPr>
        <w:t xml:space="preserve">-дан астам бейнероликтер көрсетілді. Пресс-турлар тоқсан сайын қоғамдық ұйымдардың, үй және көше комитеттерінің және бұқаралық ақпарат құралдарының өкілдерімен өткізілді. </w:t>
      </w:r>
      <w:r w:rsidR="00D631E5" w:rsidRPr="0036389C">
        <w:rPr>
          <w:rFonts w:ascii="Times New Roman" w:hAnsi="Times New Roman" w:cs="Times New Roman"/>
          <w:color w:val="0D0D0D" w:themeColor="text1" w:themeTint="F2"/>
          <w:sz w:val="24"/>
          <w:szCs w:val="24"/>
          <w:lang w:val="kk-KZ"/>
        </w:rPr>
        <w:t xml:space="preserve">2021 жылдық қазан айында </w:t>
      </w:r>
      <w:r w:rsidR="00A81592" w:rsidRPr="0036389C">
        <w:rPr>
          <w:rFonts w:ascii="Times New Roman" w:hAnsi="Times New Roman" w:cs="Times New Roman"/>
          <w:color w:val="0D0D0D" w:themeColor="text1" w:themeTint="F2"/>
          <w:sz w:val="24"/>
          <w:szCs w:val="24"/>
          <w:lang w:val="kk-KZ"/>
        </w:rPr>
        <w:t xml:space="preserve"> Табиғи монополияларды реттеу комитетінің </w:t>
      </w:r>
      <w:r w:rsidR="00D569D7" w:rsidRPr="0036389C">
        <w:rPr>
          <w:rFonts w:ascii="Times New Roman" w:hAnsi="Times New Roman" w:cs="Times New Roman"/>
          <w:color w:val="0D0D0D" w:themeColor="text1" w:themeTint="F2"/>
          <w:sz w:val="24"/>
          <w:szCs w:val="24"/>
          <w:lang w:val="kk-KZ"/>
        </w:rPr>
        <w:t xml:space="preserve">Шымкент қаласы бойынша </w:t>
      </w:r>
      <w:r w:rsidR="00A81592" w:rsidRPr="0036389C">
        <w:rPr>
          <w:rFonts w:ascii="Times New Roman" w:hAnsi="Times New Roman" w:cs="Times New Roman"/>
          <w:color w:val="0D0D0D" w:themeColor="text1" w:themeTint="F2"/>
          <w:sz w:val="24"/>
          <w:szCs w:val="24"/>
          <w:lang w:val="kk-KZ"/>
        </w:rPr>
        <w:t xml:space="preserve">департаментінің ұйымдастыруымен және </w:t>
      </w:r>
      <w:r w:rsidR="00536ECC" w:rsidRPr="0036389C">
        <w:rPr>
          <w:rFonts w:ascii="Times New Roman" w:hAnsi="Times New Roman" w:cs="Times New Roman"/>
          <w:color w:val="0D0D0D" w:themeColor="text1" w:themeTint="F2"/>
          <w:sz w:val="24"/>
          <w:szCs w:val="24"/>
          <w:lang w:val="kk-KZ"/>
        </w:rPr>
        <w:t>қоғамдық ұйымдар, қалалық депутаттар</w:t>
      </w:r>
      <w:r w:rsidR="00A81592" w:rsidRPr="0036389C">
        <w:rPr>
          <w:rFonts w:ascii="Times New Roman" w:hAnsi="Times New Roman" w:cs="Times New Roman"/>
          <w:color w:val="0D0D0D" w:themeColor="text1" w:themeTint="F2"/>
          <w:sz w:val="24"/>
          <w:szCs w:val="24"/>
          <w:lang w:val="kk-KZ"/>
        </w:rPr>
        <w:t xml:space="preserve"> қатысуымен пресс-тур өткізілді. </w:t>
      </w:r>
    </w:p>
    <w:p w:rsidR="00430037" w:rsidRPr="0036389C" w:rsidRDefault="00A81592" w:rsidP="0036389C">
      <w:pPr>
        <w:spacing w:after="0" w:line="240" w:lineRule="auto"/>
        <w:ind w:firstLine="284"/>
        <w:jc w:val="both"/>
        <w:rPr>
          <w:rFonts w:ascii="Times New Roman" w:hAnsi="Times New Roman" w:cs="Times New Roman"/>
          <w:b/>
          <w:color w:val="0D0D0D" w:themeColor="text1" w:themeTint="F2"/>
          <w:sz w:val="24"/>
          <w:szCs w:val="24"/>
          <w:lang w:val="kk-KZ"/>
        </w:rPr>
      </w:pPr>
      <w:r w:rsidRPr="0036389C">
        <w:rPr>
          <w:rFonts w:ascii="Times New Roman" w:hAnsi="Times New Roman" w:cs="Times New Roman"/>
          <w:b/>
          <w:color w:val="0D0D0D" w:themeColor="text1" w:themeTint="F2"/>
          <w:sz w:val="24"/>
          <w:szCs w:val="24"/>
          <w:lang w:val="kk-KZ"/>
        </w:rPr>
        <w:t>Сонымен қатар</w:t>
      </w:r>
      <w:r w:rsidR="00B75FFE" w:rsidRPr="0036389C">
        <w:rPr>
          <w:rFonts w:ascii="Times New Roman" w:hAnsi="Times New Roman" w:cs="Times New Roman"/>
          <w:b/>
          <w:color w:val="0D0D0D" w:themeColor="text1" w:themeTint="F2"/>
          <w:sz w:val="24"/>
          <w:szCs w:val="24"/>
          <w:lang w:val="kk-KZ"/>
        </w:rPr>
        <w:t>:</w:t>
      </w:r>
    </w:p>
    <w:p w:rsidR="00A269E9" w:rsidRPr="0036389C" w:rsidRDefault="00A269E9" w:rsidP="0036389C">
      <w:pPr>
        <w:pStyle w:val="a5"/>
        <w:numPr>
          <w:ilvl w:val="0"/>
          <w:numId w:val="7"/>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Жыл сайын – өткен жылдағы кәсіпорынның қыз</w:t>
      </w:r>
      <w:r w:rsidR="00D569D7" w:rsidRPr="0036389C">
        <w:rPr>
          <w:rFonts w:ascii="Times New Roman" w:hAnsi="Times New Roman" w:cs="Times New Roman"/>
          <w:color w:val="0D0D0D" w:themeColor="text1" w:themeTint="F2"/>
          <w:sz w:val="24"/>
          <w:szCs w:val="24"/>
          <w:lang w:val="kk-KZ"/>
        </w:rPr>
        <w:t>меті туралы, қоғамдық тыңдаулар;</w:t>
      </w:r>
      <w:r w:rsidRPr="0036389C">
        <w:rPr>
          <w:rFonts w:ascii="Times New Roman" w:hAnsi="Times New Roman" w:cs="Times New Roman"/>
          <w:color w:val="0D0D0D" w:themeColor="text1" w:themeTint="F2"/>
          <w:sz w:val="24"/>
          <w:szCs w:val="24"/>
          <w:lang w:val="kk-KZ"/>
        </w:rPr>
        <w:t xml:space="preserve"> </w:t>
      </w:r>
    </w:p>
    <w:p w:rsidR="00A269E9" w:rsidRPr="0036389C" w:rsidRDefault="00A269E9" w:rsidP="0036389C">
      <w:pPr>
        <w:pStyle w:val="a5"/>
        <w:numPr>
          <w:ilvl w:val="0"/>
          <w:numId w:val="7"/>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Жарты жыл сайын – интернет ресурстарында тұрақты түрде есеп берулер;</w:t>
      </w:r>
    </w:p>
    <w:p w:rsidR="00A269E9" w:rsidRPr="0036389C" w:rsidRDefault="00A269E9" w:rsidP="0036389C">
      <w:pPr>
        <w:pStyle w:val="a5"/>
        <w:numPr>
          <w:ilvl w:val="0"/>
          <w:numId w:val="7"/>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Әр тоқсанда – пресс-турлар өткізілуде.</w:t>
      </w:r>
    </w:p>
    <w:p w:rsidR="00A269E9" w:rsidRPr="0036389C" w:rsidRDefault="00A269E9" w:rsidP="0036389C">
      <w:pPr>
        <w:pStyle w:val="a5"/>
        <w:numPr>
          <w:ilvl w:val="0"/>
          <w:numId w:val="7"/>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Кәсіпорынның медиажоспарларына сәйкес қызмет көрсету жөніндегі мамандардың республикалық және жергілікті телеарналар мен газет беттеріне шығуы;</w:t>
      </w:r>
    </w:p>
    <w:p w:rsidR="00A269E9" w:rsidRPr="0036389C" w:rsidRDefault="00A269E9" w:rsidP="0036389C">
      <w:pPr>
        <w:pStyle w:val="a5"/>
        <w:numPr>
          <w:ilvl w:val="0"/>
          <w:numId w:val="7"/>
        </w:numP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Тұрақты түрде тұтынушылармен кездесулер;</w:t>
      </w:r>
    </w:p>
    <w:p w:rsidR="00A81592" w:rsidRPr="0036389C" w:rsidRDefault="00A81592" w:rsidP="0036389C">
      <w:pPr>
        <w:pStyle w:val="a5"/>
        <w:numPr>
          <w:ilvl w:val="0"/>
          <w:numId w:val="7"/>
        </w:numPr>
        <w:pBdr>
          <w:top w:val="nil"/>
          <w:left w:val="nil"/>
          <w:bottom w:val="nil"/>
          <w:right w:val="nil"/>
          <w:between w:val="nil"/>
          <w:bar w:val="nil"/>
        </w:pBdr>
        <w:spacing w:after="0" w:line="240" w:lineRule="auto"/>
        <w:ind w:left="0" w:firstLine="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 xml:space="preserve">SMS, Вэб-сайт, WhatsApp, e-mail, чат-бот Телеграмм арқылы </w:t>
      </w:r>
      <w:r w:rsidR="00D07EEF" w:rsidRPr="0036389C">
        <w:rPr>
          <w:rFonts w:ascii="Times New Roman" w:hAnsi="Times New Roman" w:cs="Times New Roman"/>
          <w:color w:val="0D0D0D" w:themeColor="text1" w:themeTint="F2"/>
          <w:sz w:val="24"/>
          <w:szCs w:val="24"/>
          <w:lang w:val="kk-KZ"/>
        </w:rPr>
        <w:t>22</w:t>
      </w:r>
      <w:r w:rsidR="000D044E" w:rsidRPr="0036389C">
        <w:rPr>
          <w:rFonts w:ascii="Times New Roman" w:hAnsi="Times New Roman" w:cs="Times New Roman"/>
          <w:color w:val="0D0D0D" w:themeColor="text1" w:themeTint="F2"/>
          <w:sz w:val="24"/>
          <w:szCs w:val="24"/>
          <w:lang w:val="kk-KZ"/>
        </w:rPr>
        <w:t>1490</w:t>
      </w:r>
      <w:r w:rsidRPr="0036389C">
        <w:rPr>
          <w:rFonts w:ascii="Times New Roman" w:hAnsi="Times New Roman" w:cs="Times New Roman"/>
          <w:color w:val="0D0D0D" w:themeColor="text1" w:themeTint="F2"/>
          <w:sz w:val="24"/>
          <w:szCs w:val="24"/>
          <w:lang w:val="kk-KZ"/>
        </w:rPr>
        <w:t xml:space="preserve"> - жеке тұлғалар, 7</w:t>
      </w:r>
      <w:r w:rsidR="000D044E" w:rsidRPr="0036389C">
        <w:rPr>
          <w:rFonts w:ascii="Times New Roman" w:hAnsi="Times New Roman" w:cs="Times New Roman"/>
          <w:color w:val="0D0D0D" w:themeColor="text1" w:themeTint="F2"/>
          <w:sz w:val="24"/>
          <w:szCs w:val="24"/>
          <w:lang w:val="kk-KZ"/>
        </w:rPr>
        <w:t>411</w:t>
      </w:r>
      <w:r w:rsidRPr="0036389C">
        <w:rPr>
          <w:rFonts w:ascii="Times New Roman" w:hAnsi="Times New Roman" w:cs="Times New Roman"/>
          <w:color w:val="0D0D0D" w:themeColor="text1" w:themeTint="F2"/>
          <w:sz w:val="24"/>
          <w:szCs w:val="24"/>
          <w:lang w:val="kk-KZ"/>
        </w:rPr>
        <w:t xml:space="preserve"> - заңды тұлғалар бойынша төмендегі функциялары бар электрондық байланыс орнатылды:</w:t>
      </w:r>
    </w:p>
    <w:p w:rsidR="00A81592" w:rsidRPr="0036389C" w:rsidRDefault="00A81592" w:rsidP="0036389C">
      <w:pPr>
        <w:pStyle w:val="a5"/>
        <w:numPr>
          <w:ilvl w:val="0"/>
          <w:numId w:val="6"/>
        </w:numPr>
        <w:pBdr>
          <w:top w:val="nil"/>
          <w:left w:val="nil"/>
          <w:bottom w:val="nil"/>
          <w:right w:val="nil"/>
          <w:between w:val="nil"/>
          <w:bar w:val="nil"/>
        </w:pBdr>
        <w:spacing w:after="0" w:line="240" w:lineRule="auto"/>
        <w:ind w:left="0" w:firstLine="0"/>
        <w:contextualSpacing w:val="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суды есепке алу құралдарының көрсеткіштерін беру;</w:t>
      </w:r>
    </w:p>
    <w:p w:rsidR="00A81592" w:rsidRPr="0036389C" w:rsidRDefault="00A81592" w:rsidP="0036389C">
      <w:pPr>
        <w:pStyle w:val="a5"/>
        <w:numPr>
          <w:ilvl w:val="0"/>
          <w:numId w:val="6"/>
        </w:numPr>
        <w:pBdr>
          <w:top w:val="nil"/>
          <w:left w:val="nil"/>
          <w:bottom w:val="nil"/>
          <w:right w:val="nil"/>
          <w:between w:val="nil"/>
          <w:bar w:val="nil"/>
        </w:pBdr>
        <w:spacing w:after="0" w:line="240" w:lineRule="auto"/>
        <w:ind w:left="0" w:firstLine="0"/>
        <w:contextualSpacing w:val="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төлем құжаттарының электрондық нысанын ұсыну;</w:t>
      </w:r>
    </w:p>
    <w:p w:rsidR="00A81592" w:rsidRPr="0036389C" w:rsidRDefault="00A81592" w:rsidP="0036389C">
      <w:pPr>
        <w:pStyle w:val="a3"/>
        <w:numPr>
          <w:ilvl w:val="0"/>
          <w:numId w:val="6"/>
        </w:numPr>
        <w:pBdr>
          <w:top w:val="nil"/>
          <w:left w:val="nil"/>
          <w:bottom w:val="nil"/>
          <w:right w:val="nil"/>
          <w:between w:val="nil"/>
          <w:bar w:val="nil"/>
        </w:pBdr>
        <w:spacing w:before="0" w:beforeAutospacing="0" w:after="0" w:afterAutospacing="0"/>
        <w:ind w:left="0" w:firstLine="0"/>
        <w:jc w:val="both"/>
        <w:rPr>
          <w:color w:val="0D0D0D" w:themeColor="text1" w:themeTint="F2"/>
          <w:kern w:val="24"/>
          <w:lang w:val="kk-KZ"/>
        </w:rPr>
      </w:pPr>
      <w:r w:rsidRPr="0036389C">
        <w:rPr>
          <w:color w:val="0D0D0D" w:themeColor="text1" w:themeTint="F2"/>
          <w:lang w:val="kk-KZ"/>
        </w:rPr>
        <w:t>Kaspi-банк қосымшасы арқылы сумен жабдықтау және канализация қызметтері үшін онлайн-төлем жүргізу</w:t>
      </w:r>
      <w:r w:rsidRPr="0036389C">
        <w:rPr>
          <w:color w:val="0D0D0D" w:themeColor="text1" w:themeTint="F2"/>
          <w:kern w:val="24"/>
          <w:lang w:val="kk-KZ"/>
        </w:rPr>
        <w:t>.</w:t>
      </w:r>
    </w:p>
    <w:p w:rsidR="00A81592" w:rsidRPr="0036389C" w:rsidRDefault="00A81592" w:rsidP="0036389C">
      <w:pPr>
        <w:pStyle w:val="a3"/>
        <w:spacing w:before="0" w:beforeAutospacing="0" w:after="0" w:afterAutospacing="0"/>
        <w:ind w:firstLine="360"/>
        <w:jc w:val="both"/>
        <w:rPr>
          <w:color w:val="0D0D0D" w:themeColor="text1" w:themeTint="F2"/>
          <w:kern w:val="24"/>
          <w:lang w:val="kk-KZ"/>
        </w:rPr>
      </w:pPr>
      <w:r w:rsidRPr="0036389C">
        <w:rPr>
          <w:color w:val="0D0D0D" w:themeColor="text1" w:themeTint="F2"/>
          <w:kern w:val="24"/>
          <w:lang w:val="kk-KZ"/>
        </w:rPr>
        <w:t>Бүгінгі күні онлайн-төлем 80% құрайды. 100% төлемге қол жеткізу бойынша жұмыс жүргізілуде. Чат-ботты іске қосу есебінен мекеменің кеңсесіне абоненттердің келуі 70% - ға азаяды.</w:t>
      </w:r>
    </w:p>
    <w:p w:rsidR="00A876D6" w:rsidRPr="0036389C" w:rsidRDefault="00F43BA2"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 xml:space="preserve">Қазақстан Республикасы Ұлттық экономика министрінің </w:t>
      </w:r>
      <w:r w:rsidR="00CA4092" w:rsidRPr="0036389C">
        <w:rPr>
          <w:rFonts w:ascii="Times New Roman" w:hAnsi="Times New Roman" w:cs="Times New Roman"/>
          <w:color w:val="0D0D0D" w:themeColor="text1" w:themeTint="F2"/>
          <w:sz w:val="24"/>
          <w:szCs w:val="24"/>
          <w:lang w:val="kk-KZ"/>
        </w:rPr>
        <w:t xml:space="preserve">2019 жылғы                             </w:t>
      </w:r>
      <w:r w:rsidRPr="0036389C">
        <w:rPr>
          <w:rFonts w:ascii="Times New Roman" w:hAnsi="Times New Roman" w:cs="Times New Roman"/>
          <w:color w:val="0D0D0D" w:themeColor="text1" w:themeTint="F2"/>
          <w:sz w:val="24"/>
          <w:szCs w:val="24"/>
          <w:lang w:val="kk-KZ"/>
        </w:rPr>
        <w:t xml:space="preserve">19 қарашадағы №90 "Тарифтерді қалыптастыру қағидаларын бекіту туралы" бұйрығына сәйкес айлық жалақы статистика деректері бойынша қалыптасқан өңірдегі экономикалық қызметінің түрлері бойынша өндірістік персоналдың орташа айлық жалақысынан кем емес және  Қазақстан Республикасының әлеуметтiк-экономикалық даму болжамының көрсеткіштері (инфляция) ескеріле отырып, қолданыстағы тарифтерде қабылданған орташа айлық жалақыға сүйене отырып  ескеріледі. </w:t>
      </w:r>
    </w:p>
    <w:p w:rsidR="00A876D6" w:rsidRDefault="00A876D6" w:rsidP="0036389C">
      <w:pPr>
        <w:spacing w:after="0" w:line="240" w:lineRule="auto"/>
        <w:ind w:firstLine="708"/>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Аутсорсингтер компаниясын есепке алғанда орташа жалақы мөлшері 126159 теңгені құрайды, бұл ретте 2021 жылғы IV тоқсанда орташа айлық жалақы Шымкент қаласы бойынша 209308 теңгені, Алматы қаласы бойынша 329103 теңгені, Нұр-сұлтан қаласы бойынша 391373 теңгені, Жамбыл облысы 215285 теңгені, Түркістан облысы 207929 теңгені, ал республика бойынша 275580 теңгені құрады. 2021 жылғы IV тоқсандағы экономикалық қызмет түрлері бойынша орташа айлық атаулы жалақы, яғни сумен жабдықтау; кәріз жүйесі, қалдықтардың жиналуын және таратылуын бақылау Алматы қаласы бойынша 199709 теңгені, Нұр-сұлтан қаласы бойынша 258630 теңгені, ал республика бойынша 169125 теңгені құрайды, бұл басқа экономикалық қызметпен салыстырғанда республика бойынша ең төмен болып табылады.</w:t>
      </w:r>
    </w:p>
    <w:p w:rsidR="00984BD4" w:rsidRDefault="00984BD4" w:rsidP="0036389C">
      <w:pPr>
        <w:spacing w:after="0" w:line="240" w:lineRule="auto"/>
        <w:ind w:firstLine="708"/>
        <w:jc w:val="both"/>
        <w:rPr>
          <w:rFonts w:ascii="Times New Roman" w:hAnsi="Times New Roman" w:cs="Times New Roman"/>
          <w:color w:val="0D0D0D" w:themeColor="text1" w:themeTint="F2"/>
          <w:sz w:val="24"/>
          <w:szCs w:val="24"/>
          <w:lang w:val="kk-KZ"/>
        </w:rPr>
      </w:pPr>
    </w:p>
    <w:p w:rsidR="00984BD4" w:rsidRDefault="00984BD4" w:rsidP="0036389C">
      <w:pPr>
        <w:spacing w:after="0" w:line="240" w:lineRule="auto"/>
        <w:ind w:firstLine="708"/>
        <w:jc w:val="both"/>
        <w:rPr>
          <w:rFonts w:ascii="Times New Roman" w:hAnsi="Times New Roman" w:cs="Times New Roman"/>
          <w:color w:val="0D0D0D" w:themeColor="text1" w:themeTint="F2"/>
          <w:sz w:val="24"/>
          <w:szCs w:val="24"/>
          <w:lang w:val="en-US"/>
        </w:rPr>
      </w:pPr>
    </w:p>
    <w:p w:rsidR="003853CF" w:rsidRDefault="003853CF" w:rsidP="0036389C">
      <w:pPr>
        <w:spacing w:after="0" w:line="240" w:lineRule="auto"/>
        <w:ind w:firstLine="708"/>
        <w:jc w:val="both"/>
        <w:rPr>
          <w:rFonts w:ascii="Times New Roman" w:hAnsi="Times New Roman" w:cs="Times New Roman"/>
          <w:color w:val="0D0D0D" w:themeColor="text1" w:themeTint="F2"/>
          <w:sz w:val="24"/>
          <w:szCs w:val="24"/>
          <w:lang w:val="en-US"/>
        </w:rPr>
      </w:pPr>
    </w:p>
    <w:p w:rsidR="003853CF" w:rsidRDefault="003853CF" w:rsidP="0036389C">
      <w:pPr>
        <w:spacing w:after="0" w:line="240" w:lineRule="auto"/>
        <w:ind w:firstLine="708"/>
        <w:jc w:val="both"/>
        <w:rPr>
          <w:rFonts w:ascii="Times New Roman" w:hAnsi="Times New Roman" w:cs="Times New Roman"/>
          <w:color w:val="0D0D0D" w:themeColor="text1" w:themeTint="F2"/>
          <w:sz w:val="24"/>
          <w:szCs w:val="24"/>
          <w:lang w:val="en-US"/>
        </w:rPr>
      </w:pPr>
    </w:p>
    <w:p w:rsidR="003853CF" w:rsidRDefault="003853CF" w:rsidP="0036389C">
      <w:pPr>
        <w:spacing w:after="0" w:line="240" w:lineRule="auto"/>
        <w:ind w:firstLine="708"/>
        <w:jc w:val="both"/>
        <w:rPr>
          <w:rFonts w:ascii="Times New Roman" w:hAnsi="Times New Roman" w:cs="Times New Roman"/>
          <w:color w:val="0D0D0D" w:themeColor="text1" w:themeTint="F2"/>
          <w:sz w:val="24"/>
          <w:szCs w:val="24"/>
          <w:lang w:val="en-US"/>
        </w:rPr>
      </w:pPr>
    </w:p>
    <w:p w:rsidR="003853CF" w:rsidRDefault="003853CF" w:rsidP="0036389C">
      <w:pPr>
        <w:spacing w:after="0" w:line="240" w:lineRule="auto"/>
        <w:ind w:firstLine="708"/>
        <w:jc w:val="both"/>
        <w:rPr>
          <w:rFonts w:ascii="Times New Roman" w:hAnsi="Times New Roman" w:cs="Times New Roman"/>
          <w:color w:val="0D0D0D" w:themeColor="text1" w:themeTint="F2"/>
          <w:sz w:val="24"/>
          <w:szCs w:val="24"/>
          <w:lang w:val="en-US"/>
        </w:rPr>
      </w:pPr>
    </w:p>
    <w:p w:rsidR="003853CF" w:rsidRPr="003853CF" w:rsidRDefault="003853CF" w:rsidP="0036389C">
      <w:pPr>
        <w:spacing w:after="0" w:line="240" w:lineRule="auto"/>
        <w:ind w:firstLine="708"/>
        <w:jc w:val="both"/>
        <w:rPr>
          <w:rFonts w:ascii="Times New Roman" w:hAnsi="Times New Roman" w:cs="Times New Roman"/>
          <w:color w:val="0D0D0D" w:themeColor="text1" w:themeTint="F2"/>
          <w:sz w:val="24"/>
          <w:szCs w:val="24"/>
          <w:lang w:val="en-US"/>
        </w:rPr>
      </w:pPr>
    </w:p>
    <w:p w:rsidR="00984BD4" w:rsidRDefault="00984BD4" w:rsidP="0036389C">
      <w:pPr>
        <w:spacing w:after="0" w:line="240" w:lineRule="auto"/>
        <w:ind w:firstLine="708"/>
        <w:jc w:val="both"/>
        <w:rPr>
          <w:rFonts w:ascii="Times New Roman" w:hAnsi="Times New Roman" w:cs="Times New Roman"/>
          <w:color w:val="0D0D0D" w:themeColor="text1" w:themeTint="F2"/>
          <w:sz w:val="24"/>
          <w:szCs w:val="24"/>
          <w:lang w:val="kk-KZ"/>
        </w:rPr>
      </w:pPr>
    </w:p>
    <w:p w:rsidR="00984BD4" w:rsidRDefault="00984BD4" w:rsidP="0036389C">
      <w:pPr>
        <w:spacing w:after="0" w:line="240" w:lineRule="auto"/>
        <w:ind w:firstLine="708"/>
        <w:jc w:val="both"/>
        <w:rPr>
          <w:rFonts w:ascii="Times New Roman" w:hAnsi="Times New Roman" w:cs="Times New Roman"/>
          <w:color w:val="0D0D0D" w:themeColor="text1" w:themeTint="F2"/>
          <w:sz w:val="24"/>
          <w:szCs w:val="24"/>
          <w:lang w:val="kk-KZ"/>
        </w:rPr>
      </w:pPr>
    </w:p>
    <w:p w:rsidR="00984BD4" w:rsidRDefault="00984BD4" w:rsidP="0036389C">
      <w:pPr>
        <w:spacing w:after="0" w:line="240" w:lineRule="auto"/>
        <w:ind w:firstLine="708"/>
        <w:jc w:val="both"/>
        <w:rPr>
          <w:rFonts w:ascii="Times New Roman" w:hAnsi="Times New Roman" w:cs="Times New Roman"/>
          <w:color w:val="0D0D0D" w:themeColor="text1" w:themeTint="F2"/>
          <w:sz w:val="24"/>
          <w:szCs w:val="24"/>
          <w:lang w:val="kk-KZ"/>
        </w:rPr>
      </w:pPr>
    </w:p>
    <w:p w:rsidR="00984BD4" w:rsidRPr="0036389C" w:rsidRDefault="00984BD4" w:rsidP="0036389C">
      <w:pPr>
        <w:spacing w:after="0" w:line="240" w:lineRule="auto"/>
        <w:ind w:firstLine="708"/>
        <w:jc w:val="both"/>
        <w:rPr>
          <w:rFonts w:ascii="Times New Roman" w:hAnsi="Times New Roman" w:cs="Times New Roman"/>
          <w:color w:val="0D0D0D" w:themeColor="text1" w:themeTint="F2"/>
          <w:sz w:val="24"/>
          <w:szCs w:val="24"/>
          <w:lang w:val="kk-KZ"/>
        </w:rPr>
      </w:pPr>
    </w:p>
    <w:p w:rsidR="005B1B9B" w:rsidRPr="0036389C" w:rsidRDefault="00EA0315" w:rsidP="0036389C">
      <w:pPr>
        <w:spacing w:after="0" w:line="240" w:lineRule="auto"/>
        <w:jc w:val="right"/>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теңге</w:t>
      </w:r>
    </w:p>
    <w:p w:rsidR="005B1B9B" w:rsidRPr="0036389C" w:rsidRDefault="00532451" w:rsidP="0036389C">
      <w:p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noProof/>
          <w:color w:val="0D0D0D" w:themeColor="text1" w:themeTint="F2"/>
          <w:sz w:val="24"/>
          <w:szCs w:val="24"/>
          <w:lang w:eastAsia="ru-RU"/>
        </w:rPr>
        <w:drawing>
          <wp:inline distT="0" distB="0" distL="0" distR="0" wp14:anchorId="26B47B08" wp14:editId="74E09B73">
            <wp:extent cx="6105525" cy="3038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1B9B" w:rsidRPr="0036389C" w:rsidRDefault="005B1B9B" w:rsidP="0036389C">
      <w:pPr>
        <w:spacing w:after="0" w:line="240" w:lineRule="auto"/>
        <w:jc w:val="both"/>
        <w:rPr>
          <w:rFonts w:ascii="Times New Roman" w:hAnsi="Times New Roman" w:cs="Times New Roman"/>
          <w:color w:val="0D0D0D" w:themeColor="text1" w:themeTint="F2"/>
          <w:sz w:val="24"/>
          <w:szCs w:val="24"/>
          <w:lang w:val="kk-KZ"/>
        </w:rPr>
      </w:pPr>
    </w:p>
    <w:p w:rsidR="00154000" w:rsidRPr="0036389C" w:rsidRDefault="00154000" w:rsidP="0036389C">
      <w:pPr>
        <w:spacing w:after="0" w:line="240" w:lineRule="auto"/>
        <w:jc w:val="center"/>
        <w:rPr>
          <w:rFonts w:ascii="Times New Roman" w:hAnsi="Times New Roman" w:cs="Times New Roman"/>
          <w:b/>
          <w:color w:val="0D0D0D" w:themeColor="text1" w:themeTint="F2"/>
          <w:sz w:val="24"/>
          <w:szCs w:val="24"/>
          <w:lang w:val="kk-KZ"/>
        </w:rPr>
      </w:pPr>
      <w:bookmarkStart w:id="0" w:name="_GoBack"/>
      <w:bookmarkEnd w:id="0"/>
      <w:r w:rsidRPr="0036389C">
        <w:rPr>
          <w:rFonts w:ascii="Times New Roman" w:hAnsi="Times New Roman" w:cs="Times New Roman"/>
          <w:b/>
          <w:color w:val="0D0D0D" w:themeColor="text1" w:themeTint="F2"/>
          <w:sz w:val="24"/>
          <w:szCs w:val="24"/>
          <w:lang w:val="kk-KZ"/>
        </w:rPr>
        <w:t>Шымкент қаласы бойынша 202</w:t>
      </w:r>
      <w:r w:rsidR="00320DDE" w:rsidRPr="0036389C">
        <w:rPr>
          <w:rFonts w:ascii="Times New Roman" w:hAnsi="Times New Roman" w:cs="Times New Roman"/>
          <w:b/>
          <w:color w:val="0D0D0D" w:themeColor="text1" w:themeTint="F2"/>
          <w:sz w:val="24"/>
          <w:szCs w:val="24"/>
          <w:lang w:val="kk-KZ"/>
        </w:rPr>
        <w:t>1</w:t>
      </w:r>
      <w:r w:rsidRPr="0036389C">
        <w:rPr>
          <w:rFonts w:ascii="Times New Roman" w:hAnsi="Times New Roman" w:cs="Times New Roman"/>
          <w:b/>
          <w:color w:val="0D0D0D" w:themeColor="text1" w:themeTint="F2"/>
          <w:sz w:val="24"/>
          <w:szCs w:val="24"/>
          <w:lang w:val="kk-KZ"/>
        </w:rPr>
        <w:t xml:space="preserve"> жылға сумен жабдықтау және суды бұру қызметтеріне орташа 1 адам басына есептелген сомманың мөлшерін</w:t>
      </w:r>
    </w:p>
    <w:p w:rsidR="00C504B4" w:rsidRPr="0036389C" w:rsidRDefault="00154000" w:rsidP="0036389C">
      <w:pPr>
        <w:spacing w:after="0" w:line="240" w:lineRule="auto"/>
        <w:jc w:val="center"/>
        <w:rPr>
          <w:rFonts w:ascii="Times New Roman" w:hAnsi="Times New Roman" w:cs="Times New Roman"/>
          <w:b/>
          <w:color w:val="0D0D0D" w:themeColor="text1" w:themeTint="F2"/>
          <w:sz w:val="24"/>
          <w:szCs w:val="24"/>
          <w:lang w:val="kk-KZ"/>
        </w:rPr>
      </w:pPr>
      <w:r w:rsidRPr="0036389C">
        <w:rPr>
          <w:rFonts w:ascii="Times New Roman" w:hAnsi="Times New Roman" w:cs="Times New Roman"/>
          <w:b/>
          <w:color w:val="0D0D0D" w:themeColor="text1" w:themeTint="F2"/>
          <w:sz w:val="24"/>
          <w:szCs w:val="24"/>
          <w:lang w:val="kk-KZ"/>
        </w:rPr>
        <w:t>ТАЛДАУ</w:t>
      </w:r>
    </w:p>
    <w:p w:rsidR="00320DDE" w:rsidRPr="0036389C" w:rsidRDefault="00320DDE" w:rsidP="0036389C">
      <w:pPr>
        <w:spacing w:after="0" w:line="240" w:lineRule="auto"/>
        <w:jc w:val="center"/>
        <w:rPr>
          <w:rFonts w:ascii="Times New Roman" w:hAnsi="Times New Roman" w:cs="Times New Roman"/>
          <w:b/>
          <w:color w:val="0D0D0D" w:themeColor="text1" w:themeTint="F2"/>
          <w:sz w:val="24"/>
          <w:szCs w:val="24"/>
          <w:lang w:val="kk-KZ"/>
        </w:rPr>
      </w:pPr>
    </w:p>
    <w:p w:rsidR="00320DDE" w:rsidRPr="0036389C" w:rsidRDefault="00320DDE" w:rsidP="0036389C">
      <w:pPr>
        <w:tabs>
          <w:tab w:val="left" w:pos="0"/>
        </w:tabs>
        <w:spacing w:after="0" w:line="240" w:lineRule="auto"/>
        <w:jc w:val="both"/>
        <w:rPr>
          <w:rFonts w:ascii="Times New Roman" w:hAnsi="Times New Roman" w:cs="Times New Roman"/>
          <w:i/>
          <w:color w:val="0D0D0D" w:themeColor="text1" w:themeTint="F2"/>
          <w:sz w:val="24"/>
          <w:szCs w:val="24"/>
          <w:shd w:val="clear" w:color="auto" w:fill="FFFFFF"/>
          <w:lang w:val="kk-KZ"/>
        </w:rPr>
      </w:pPr>
      <w:r w:rsidRPr="0036389C">
        <w:rPr>
          <w:rFonts w:ascii="Times New Roman" w:eastAsia="Meiryo UI" w:hAnsi="Times New Roman" w:cs="Times New Roman"/>
          <w:bCs/>
          <w:i/>
          <w:iCs/>
          <w:color w:val="0D0D0D" w:themeColor="text1" w:themeTint="F2"/>
          <w:kern w:val="24"/>
          <w:sz w:val="24"/>
          <w:szCs w:val="24"/>
          <w:lang w:val="kk-KZ"/>
        </w:rPr>
        <w:t>Қазіргі уақытта тұтынушылардың 76,2% сумен жабдықтау және кәріз жүйесінің қызметтері үшін бір адамға айына 215 теңге нақты төлеп отыр, бұл республика бойынша өте төменгі көрсеткіш.</w:t>
      </w:r>
      <w:r w:rsidRPr="0036389C">
        <w:rPr>
          <w:rFonts w:ascii="Times New Roman" w:hAnsi="Times New Roman" w:cs="Times New Roman"/>
          <w:i/>
          <w:color w:val="0D0D0D" w:themeColor="text1" w:themeTint="F2"/>
          <w:sz w:val="24"/>
          <w:szCs w:val="24"/>
          <w:shd w:val="clear" w:color="auto" w:fill="FFFFFF"/>
          <w:lang w:val="kk-KZ"/>
        </w:rPr>
        <w:t xml:space="preserve"> </w:t>
      </w:r>
    </w:p>
    <w:tbl>
      <w:tblPr>
        <w:tblW w:w="10211" w:type="dxa"/>
        <w:tblInd w:w="-415" w:type="dxa"/>
        <w:tblLayout w:type="fixed"/>
        <w:tblCellMar>
          <w:left w:w="0" w:type="dxa"/>
          <w:right w:w="0" w:type="dxa"/>
        </w:tblCellMar>
        <w:tblLook w:val="0600" w:firstRow="0" w:lastRow="0" w:firstColumn="0" w:lastColumn="0" w:noHBand="1" w:noVBand="1"/>
      </w:tblPr>
      <w:tblGrid>
        <w:gridCol w:w="2083"/>
        <w:gridCol w:w="1749"/>
        <w:gridCol w:w="1560"/>
        <w:gridCol w:w="1559"/>
        <w:gridCol w:w="1276"/>
        <w:gridCol w:w="1134"/>
        <w:gridCol w:w="850"/>
      </w:tblGrid>
      <w:tr w:rsidR="00320DDE" w:rsidRPr="0036389C" w:rsidTr="003058CF">
        <w:trPr>
          <w:trHeight w:val="866"/>
        </w:trPr>
        <w:tc>
          <w:tcPr>
            <w:tcW w:w="2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0DDE" w:rsidRPr="0036389C" w:rsidRDefault="00320DDE" w:rsidP="0036389C">
            <w:pPr>
              <w:spacing w:after="0" w:line="240" w:lineRule="auto"/>
              <w:jc w:val="center"/>
              <w:textAlignment w:val="center"/>
              <w:rPr>
                <w:rFonts w:ascii="Times New Roman" w:eastAsia="Times New Roman" w:hAnsi="Times New Roman" w:cs="Times New Roman"/>
                <w:color w:val="0D0D0D" w:themeColor="text1" w:themeTint="F2"/>
                <w:sz w:val="24"/>
                <w:szCs w:val="24"/>
                <w:lang w:eastAsia="ru-RU"/>
              </w:rPr>
            </w:pPr>
            <w:proofErr w:type="spellStart"/>
            <w:r w:rsidRPr="0036389C">
              <w:rPr>
                <w:rFonts w:ascii="Times New Roman" w:eastAsia="Times New Roman" w:hAnsi="Times New Roman" w:cs="Times New Roman"/>
                <w:bCs/>
                <w:color w:val="0D0D0D" w:themeColor="text1" w:themeTint="F2"/>
                <w:kern w:val="24"/>
                <w:sz w:val="24"/>
                <w:szCs w:val="24"/>
                <w:lang w:eastAsia="ru-RU"/>
              </w:rPr>
              <w:t>Есептелген</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сомалар</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сомасының</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шектері</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айына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0DDE" w:rsidRPr="0036389C" w:rsidRDefault="00320DDE" w:rsidP="0036389C">
            <w:pPr>
              <w:spacing w:after="0" w:line="240" w:lineRule="auto"/>
              <w:jc w:val="center"/>
              <w:textAlignment w:val="center"/>
              <w:rPr>
                <w:rFonts w:ascii="Times New Roman" w:eastAsia="Times New Roman" w:hAnsi="Times New Roman" w:cs="Times New Roman"/>
                <w:color w:val="0D0D0D" w:themeColor="text1" w:themeTint="F2"/>
                <w:sz w:val="24"/>
                <w:szCs w:val="24"/>
                <w:lang w:eastAsia="ru-RU"/>
              </w:rPr>
            </w:pPr>
            <w:proofErr w:type="spellStart"/>
            <w:r w:rsidRPr="0036389C">
              <w:rPr>
                <w:rFonts w:ascii="Times New Roman" w:eastAsia="Times New Roman" w:hAnsi="Times New Roman" w:cs="Times New Roman"/>
                <w:bCs/>
                <w:color w:val="0D0D0D" w:themeColor="text1" w:themeTint="F2"/>
                <w:kern w:val="24"/>
                <w:sz w:val="24"/>
                <w:szCs w:val="24"/>
                <w:lang w:eastAsia="ru-RU"/>
              </w:rPr>
              <w:t>Тұтынушылардың</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отбасылардың</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орташа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жылдық</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саны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0DDE" w:rsidRPr="0036389C" w:rsidRDefault="00320DDE" w:rsidP="0036389C">
            <w:pPr>
              <w:spacing w:after="0" w:line="240" w:lineRule="auto"/>
              <w:jc w:val="center"/>
              <w:textAlignment w:val="center"/>
              <w:rPr>
                <w:rFonts w:ascii="Times New Roman" w:eastAsia="Times New Roman" w:hAnsi="Times New Roman" w:cs="Times New Roman"/>
                <w:color w:val="0D0D0D" w:themeColor="text1" w:themeTint="F2"/>
                <w:sz w:val="24"/>
                <w:szCs w:val="24"/>
                <w:lang w:eastAsia="ru-RU"/>
              </w:rPr>
            </w:pPr>
            <w:proofErr w:type="spellStart"/>
            <w:r w:rsidRPr="0036389C">
              <w:rPr>
                <w:rFonts w:ascii="Times New Roman" w:eastAsia="Times New Roman" w:hAnsi="Times New Roman" w:cs="Times New Roman"/>
                <w:bCs/>
                <w:color w:val="0D0D0D" w:themeColor="text1" w:themeTint="F2"/>
                <w:kern w:val="24"/>
                <w:sz w:val="24"/>
                <w:szCs w:val="24"/>
                <w:lang w:eastAsia="ru-RU"/>
              </w:rPr>
              <w:t>Орташа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айлық</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есептелген</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сома, </w:t>
            </w:r>
            <w:proofErr w:type="spellStart"/>
            <w:r w:rsidRPr="0036389C">
              <w:rPr>
                <w:rFonts w:ascii="Times New Roman" w:eastAsia="Times New Roman" w:hAnsi="Times New Roman" w:cs="Times New Roman"/>
                <w:bCs/>
                <w:color w:val="0D0D0D" w:themeColor="text1" w:themeTint="F2"/>
                <w:kern w:val="24"/>
                <w:sz w:val="24"/>
                <w:szCs w:val="24"/>
                <w:lang w:eastAsia="ru-RU"/>
              </w:rPr>
              <w:t>мың</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0DDE" w:rsidRPr="0036389C" w:rsidRDefault="00320DDE" w:rsidP="0036389C">
            <w:pPr>
              <w:spacing w:after="0" w:line="240" w:lineRule="auto"/>
              <w:jc w:val="center"/>
              <w:textAlignment w:val="center"/>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1 абонентке (</w:t>
            </w:r>
            <w:proofErr w:type="spellStart"/>
            <w:r w:rsidRPr="0036389C">
              <w:rPr>
                <w:rFonts w:ascii="Times New Roman" w:eastAsia="Times New Roman" w:hAnsi="Times New Roman" w:cs="Times New Roman"/>
                <w:bCs/>
                <w:color w:val="0D0D0D" w:themeColor="text1" w:themeTint="F2"/>
                <w:kern w:val="24"/>
                <w:sz w:val="24"/>
                <w:szCs w:val="24"/>
                <w:lang w:eastAsia="ru-RU"/>
              </w:rPr>
              <w:t>отбасына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орташа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айлық</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есептелген</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сома,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0DDE" w:rsidRPr="0036389C" w:rsidRDefault="00320DDE" w:rsidP="0036389C">
            <w:pPr>
              <w:spacing w:after="0" w:line="240" w:lineRule="auto"/>
              <w:jc w:val="center"/>
              <w:textAlignment w:val="center"/>
              <w:rPr>
                <w:rFonts w:ascii="Times New Roman" w:eastAsia="Times New Roman" w:hAnsi="Times New Roman" w:cs="Times New Roman"/>
                <w:color w:val="0D0D0D" w:themeColor="text1" w:themeTint="F2"/>
                <w:sz w:val="24"/>
                <w:szCs w:val="24"/>
                <w:lang w:eastAsia="ru-RU"/>
              </w:rPr>
            </w:pPr>
            <w:proofErr w:type="spellStart"/>
            <w:r w:rsidRPr="0036389C">
              <w:rPr>
                <w:rFonts w:ascii="Times New Roman" w:eastAsia="Times New Roman" w:hAnsi="Times New Roman" w:cs="Times New Roman"/>
                <w:bCs/>
                <w:color w:val="0D0D0D" w:themeColor="text1" w:themeTint="F2"/>
                <w:kern w:val="24"/>
                <w:sz w:val="24"/>
                <w:szCs w:val="24"/>
                <w:lang w:eastAsia="ru-RU"/>
              </w:rPr>
              <w:t>Адамдардың</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орташа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жылдық</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саны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0DDE" w:rsidRPr="0036389C" w:rsidRDefault="00320DDE" w:rsidP="0036389C">
            <w:pPr>
              <w:spacing w:after="0" w:line="240" w:lineRule="auto"/>
              <w:jc w:val="center"/>
              <w:textAlignment w:val="center"/>
              <w:rPr>
                <w:rFonts w:ascii="Times New Roman" w:eastAsia="Times New Roman" w:hAnsi="Times New Roman" w:cs="Times New Roman"/>
                <w:color w:val="0D0D0D" w:themeColor="text1" w:themeTint="F2"/>
                <w:sz w:val="24"/>
                <w:szCs w:val="24"/>
                <w:lang w:eastAsia="ru-RU"/>
              </w:rPr>
            </w:pPr>
            <w:proofErr w:type="spellStart"/>
            <w:r w:rsidRPr="0036389C">
              <w:rPr>
                <w:rFonts w:ascii="Times New Roman" w:eastAsia="Times New Roman" w:hAnsi="Times New Roman" w:cs="Times New Roman"/>
                <w:bCs/>
                <w:color w:val="0D0D0D" w:themeColor="text1" w:themeTint="F2"/>
                <w:kern w:val="24"/>
                <w:sz w:val="24"/>
                <w:szCs w:val="24"/>
                <w:lang w:eastAsia="ru-RU"/>
              </w:rPr>
              <w:t>Бі</w:t>
            </w:r>
            <w:proofErr w:type="gramStart"/>
            <w:r w:rsidRPr="0036389C">
              <w:rPr>
                <w:rFonts w:ascii="Times New Roman" w:eastAsia="Times New Roman" w:hAnsi="Times New Roman" w:cs="Times New Roman"/>
                <w:bCs/>
                <w:color w:val="0D0D0D" w:themeColor="text1" w:themeTint="F2"/>
                <w:kern w:val="24"/>
                <w:sz w:val="24"/>
                <w:szCs w:val="24"/>
                <w:lang w:eastAsia="ru-RU"/>
              </w:rPr>
              <w:t>р</w:t>
            </w:r>
            <w:proofErr w:type="spellEnd"/>
            <w:proofErr w:type="gram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адамға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орташа</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айлық</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есептелген</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сома,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0DDE" w:rsidRPr="0036389C" w:rsidRDefault="00320DDE" w:rsidP="0036389C">
            <w:pPr>
              <w:spacing w:after="0" w:line="240" w:lineRule="auto"/>
              <w:jc w:val="center"/>
              <w:textAlignment w:val="center"/>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төлеу</w:t>
            </w:r>
            <w:proofErr w:type="spellEnd"/>
          </w:p>
        </w:tc>
      </w:tr>
      <w:tr w:rsidR="00320DDE" w:rsidRPr="0036389C" w:rsidTr="003058CF">
        <w:trPr>
          <w:trHeight w:val="239"/>
        </w:trPr>
        <w:tc>
          <w:tcPr>
            <w:tcW w:w="2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 xml:space="preserve">500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дейін</w:t>
            </w:r>
            <w:proofErr w:type="spellEnd"/>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133387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170834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1281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795110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215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76,2</w:t>
            </w:r>
          </w:p>
        </w:tc>
      </w:tr>
      <w:tr w:rsidR="00320DDE" w:rsidRPr="0036389C" w:rsidTr="003058CF">
        <w:trPr>
          <w:trHeight w:val="524"/>
        </w:trPr>
        <w:tc>
          <w:tcPr>
            <w:tcW w:w="2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 xml:space="preserve">500 </w:t>
            </w:r>
            <w:proofErr w:type="spellStart"/>
            <w:r w:rsidRPr="0036389C">
              <w:rPr>
                <w:rFonts w:ascii="Times New Roman" w:eastAsia="Times New Roman" w:hAnsi="Times New Roman" w:cs="Times New Roman"/>
                <w:color w:val="0D0D0D" w:themeColor="text1" w:themeTint="F2"/>
                <w:kern w:val="24"/>
                <w:sz w:val="24"/>
                <w:szCs w:val="24"/>
                <w:lang w:eastAsia="ru-RU"/>
              </w:rPr>
              <w:t>теңгеден</w:t>
            </w:r>
            <w:proofErr w:type="spellEnd"/>
            <w:r w:rsidRPr="0036389C">
              <w:rPr>
                <w:rFonts w:ascii="Times New Roman" w:eastAsia="Times New Roman" w:hAnsi="Times New Roman" w:cs="Times New Roman"/>
                <w:color w:val="0D0D0D" w:themeColor="text1" w:themeTint="F2"/>
                <w:kern w:val="24"/>
                <w:sz w:val="24"/>
                <w:szCs w:val="24"/>
                <w:lang w:eastAsia="ru-RU"/>
              </w:rPr>
              <w:t xml:space="preserve">  до 700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дейін</w:t>
            </w:r>
            <w:proofErr w:type="spellEnd"/>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30633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61570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2010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115479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533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11,1</w:t>
            </w:r>
          </w:p>
        </w:tc>
      </w:tr>
      <w:tr w:rsidR="00320DDE" w:rsidRPr="0036389C" w:rsidTr="003058CF">
        <w:trPr>
          <w:trHeight w:val="546"/>
        </w:trPr>
        <w:tc>
          <w:tcPr>
            <w:tcW w:w="2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 xml:space="preserve">от 700 </w:t>
            </w:r>
            <w:proofErr w:type="spellStart"/>
            <w:r w:rsidRPr="0036389C">
              <w:rPr>
                <w:rFonts w:ascii="Times New Roman" w:eastAsia="Times New Roman" w:hAnsi="Times New Roman" w:cs="Times New Roman"/>
                <w:color w:val="0D0D0D" w:themeColor="text1" w:themeTint="F2"/>
                <w:kern w:val="24"/>
                <w:sz w:val="24"/>
                <w:szCs w:val="24"/>
                <w:lang w:eastAsia="ru-RU"/>
              </w:rPr>
              <w:t>теңгеден</w:t>
            </w:r>
            <w:proofErr w:type="spellEnd"/>
            <w:r w:rsidRPr="0036389C">
              <w:rPr>
                <w:rFonts w:ascii="Times New Roman" w:eastAsia="Times New Roman" w:hAnsi="Times New Roman" w:cs="Times New Roman"/>
                <w:color w:val="0D0D0D" w:themeColor="text1" w:themeTint="F2"/>
                <w:kern w:val="24"/>
                <w:sz w:val="24"/>
                <w:szCs w:val="24"/>
                <w:lang w:eastAsia="ru-RU"/>
              </w:rPr>
              <w:t xml:space="preserve">  до 1000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дейін</w:t>
            </w:r>
            <w:proofErr w:type="spellEnd"/>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23554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53449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2269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71477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748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6,9</w:t>
            </w:r>
          </w:p>
        </w:tc>
      </w:tr>
      <w:tr w:rsidR="00320DDE" w:rsidRPr="0036389C" w:rsidTr="003058CF">
        <w:trPr>
          <w:trHeight w:val="242"/>
        </w:trPr>
        <w:tc>
          <w:tcPr>
            <w:tcW w:w="2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 xml:space="preserve">1000 </w:t>
            </w:r>
            <w:proofErr w:type="spellStart"/>
            <w:r w:rsidRPr="0036389C">
              <w:rPr>
                <w:rFonts w:ascii="Times New Roman" w:eastAsia="Times New Roman" w:hAnsi="Times New Roman" w:cs="Times New Roman"/>
                <w:bCs/>
                <w:color w:val="0D0D0D" w:themeColor="text1" w:themeTint="F2"/>
                <w:kern w:val="24"/>
                <w:sz w:val="24"/>
                <w:szCs w:val="24"/>
                <w:lang w:eastAsia="ru-RU"/>
              </w:rPr>
              <w:t>теңге</w:t>
            </w:r>
            <w:proofErr w:type="spellEnd"/>
            <w:r w:rsidRPr="0036389C">
              <w:rPr>
                <w:rFonts w:ascii="Times New Roman" w:eastAsia="Times New Roman" w:hAnsi="Times New Roman" w:cs="Times New Roman"/>
                <w:bCs/>
                <w:color w:val="0D0D0D" w:themeColor="text1" w:themeTint="F2"/>
                <w:kern w:val="24"/>
                <w:sz w:val="24"/>
                <w:szCs w:val="24"/>
                <w:lang w:eastAsia="ru-RU"/>
              </w:rPr>
              <w:t xml:space="preserve"> </w:t>
            </w:r>
            <w:proofErr w:type="spellStart"/>
            <w:r w:rsidRPr="0036389C">
              <w:rPr>
                <w:rFonts w:ascii="Times New Roman" w:eastAsia="Times New Roman" w:hAnsi="Times New Roman" w:cs="Times New Roman"/>
                <w:bCs/>
                <w:color w:val="0D0D0D" w:themeColor="text1" w:themeTint="F2"/>
                <w:kern w:val="24"/>
                <w:sz w:val="24"/>
                <w:szCs w:val="24"/>
                <w:lang w:eastAsia="ru-RU"/>
              </w:rPr>
              <w:t>дейін</w:t>
            </w:r>
            <w:proofErr w:type="spellEnd"/>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25207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86526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3433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60844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1422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color w:val="0D0D0D" w:themeColor="text1" w:themeTint="F2"/>
                <w:kern w:val="24"/>
                <w:sz w:val="24"/>
                <w:szCs w:val="24"/>
                <w:lang w:eastAsia="ru-RU"/>
              </w:rPr>
              <w:t>5,8</w:t>
            </w:r>
          </w:p>
        </w:tc>
      </w:tr>
      <w:tr w:rsidR="00320DDE" w:rsidRPr="0036389C" w:rsidTr="003058CF">
        <w:trPr>
          <w:trHeight w:val="245"/>
        </w:trPr>
        <w:tc>
          <w:tcPr>
            <w:tcW w:w="2083"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bottom"/>
            <w:hideMark/>
          </w:tcPr>
          <w:p w:rsidR="00320DDE" w:rsidRPr="0036389C" w:rsidRDefault="00320DDE" w:rsidP="0036389C">
            <w:pPr>
              <w:spacing w:after="0" w:line="240" w:lineRule="auto"/>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ИТОГО</w:t>
            </w:r>
          </w:p>
        </w:tc>
        <w:tc>
          <w:tcPr>
            <w:tcW w:w="174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212781</w:t>
            </w:r>
          </w:p>
        </w:tc>
        <w:tc>
          <w:tcPr>
            <w:tcW w:w="15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372379</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1750</w:t>
            </w: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1042910</w:t>
            </w:r>
          </w:p>
        </w:tc>
        <w:tc>
          <w:tcPr>
            <w:tcW w:w="113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357</w:t>
            </w:r>
          </w:p>
        </w:tc>
        <w:tc>
          <w:tcPr>
            <w:tcW w:w="85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vAlign w:val="bottom"/>
            <w:hideMark/>
          </w:tcPr>
          <w:p w:rsidR="00320DDE" w:rsidRPr="0036389C" w:rsidRDefault="00320DDE" w:rsidP="0036389C">
            <w:pPr>
              <w:spacing w:after="0" w:line="240" w:lineRule="auto"/>
              <w:jc w:val="center"/>
              <w:textAlignment w:val="bottom"/>
              <w:rPr>
                <w:rFonts w:ascii="Times New Roman" w:eastAsia="Times New Roman" w:hAnsi="Times New Roman" w:cs="Times New Roman"/>
                <w:color w:val="0D0D0D" w:themeColor="text1" w:themeTint="F2"/>
                <w:sz w:val="24"/>
                <w:szCs w:val="24"/>
                <w:lang w:eastAsia="ru-RU"/>
              </w:rPr>
            </w:pPr>
            <w:r w:rsidRPr="0036389C">
              <w:rPr>
                <w:rFonts w:ascii="Times New Roman" w:eastAsia="Times New Roman" w:hAnsi="Times New Roman" w:cs="Times New Roman"/>
                <w:bCs/>
                <w:color w:val="0D0D0D" w:themeColor="text1" w:themeTint="F2"/>
                <w:kern w:val="24"/>
                <w:sz w:val="24"/>
                <w:szCs w:val="24"/>
                <w:lang w:eastAsia="ru-RU"/>
              </w:rPr>
              <w:t>100,0</w:t>
            </w:r>
          </w:p>
        </w:tc>
      </w:tr>
    </w:tbl>
    <w:p w:rsidR="00320DDE" w:rsidRPr="0036389C" w:rsidRDefault="00320DDE" w:rsidP="0036389C">
      <w:pPr>
        <w:spacing w:after="0" w:line="240" w:lineRule="auto"/>
        <w:jc w:val="center"/>
        <w:rPr>
          <w:rFonts w:ascii="Times New Roman" w:hAnsi="Times New Roman" w:cs="Times New Roman"/>
          <w:b/>
          <w:color w:val="0D0D0D" w:themeColor="text1" w:themeTint="F2"/>
          <w:sz w:val="24"/>
          <w:szCs w:val="24"/>
          <w:lang w:val="kk-KZ"/>
        </w:rPr>
      </w:pPr>
    </w:p>
    <w:p w:rsidR="00320DDE" w:rsidRPr="0036389C" w:rsidRDefault="00320DDE" w:rsidP="0036389C">
      <w:pPr>
        <w:spacing w:after="0" w:line="240" w:lineRule="auto"/>
        <w:jc w:val="center"/>
        <w:rPr>
          <w:rFonts w:ascii="Times New Roman" w:hAnsi="Times New Roman" w:cs="Times New Roman"/>
          <w:b/>
          <w:color w:val="0D0D0D" w:themeColor="text1" w:themeTint="F2"/>
          <w:sz w:val="24"/>
          <w:szCs w:val="24"/>
          <w:lang w:val="kk-KZ"/>
        </w:rPr>
      </w:pPr>
    </w:p>
    <w:p w:rsidR="00C504B4" w:rsidRPr="0036389C" w:rsidRDefault="00C504B4" w:rsidP="0036389C">
      <w:pPr>
        <w:spacing w:after="0" w:line="240" w:lineRule="auto"/>
        <w:jc w:val="both"/>
        <w:rPr>
          <w:rFonts w:ascii="Times New Roman" w:hAnsi="Times New Roman" w:cs="Times New Roman"/>
          <w:color w:val="0D0D0D" w:themeColor="text1" w:themeTint="F2"/>
          <w:sz w:val="24"/>
          <w:szCs w:val="24"/>
          <w:lang w:val="kk-KZ"/>
        </w:rPr>
      </w:pPr>
    </w:p>
    <w:p w:rsidR="00067999" w:rsidRPr="0036389C" w:rsidRDefault="00701192" w:rsidP="0036389C">
      <w:pPr>
        <w:spacing w:after="0" w:line="240" w:lineRule="auto"/>
        <w:jc w:val="both"/>
        <w:rPr>
          <w:rFonts w:ascii="Times New Roman" w:hAnsi="Times New Roman" w:cs="Times New Roman"/>
          <w:b/>
          <w:color w:val="0D0D0D" w:themeColor="text1" w:themeTint="F2"/>
          <w:sz w:val="24"/>
          <w:szCs w:val="24"/>
          <w:lang w:val="kk-KZ"/>
        </w:rPr>
      </w:pPr>
      <w:r w:rsidRPr="0036389C">
        <w:rPr>
          <w:rFonts w:ascii="Times New Roman" w:hAnsi="Times New Roman" w:cs="Times New Roman"/>
          <w:b/>
          <w:bCs/>
          <w:color w:val="0D0D0D" w:themeColor="text1" w:themeTint="F2"/>
          <w:sz w:val="24"/>
          <w:szCs w:val="24"/>
          <w:lang w:val="kk-KZ"/>
        </w:rPr>
        <w:t>2022-2026 жж. ұзақ мезгілді мерімге арналған жоспарлар</w:t>
      </w:r>
      <w:r w:rsidR="00154000" w:rsidRPr="0036389C">
        <w:rPr>
          <w:rFonts w:ascii="Times New Roman" w:hAnsi="Times New Roman" w:cs="Times New Roman"/>
          <w:b/>
          <w:color w:val="0D0D0D" w:themeColor="text1" w:themeTint="F2"/>
          <w:sz w:val="24"/>
          <w:szCs w:val="24"/>
          <w:lang w:val="kk-KZ"/>
        </w:rPr>
        <w:t>:</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Халықты қажетті мөлшерде және тиісті сапада тәулігіне 24 сағат үздіксіз ауыз сумен қамтамасыз ету;</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Экология және санитария саласындағы заңнама талаптарына сәйкес ағынды суларды тасымалдау және толық тазарту;</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"Цифрлық Қазақстан"мемлекеттік бағдарламасының талаптары шеңберінде тұтынушылармен өзара қарым-қатынасты барынша жақсарту;</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Тазарту құрылыстарының қуатын тәулігіне 200 мың текше метрге дейін кеңейту;</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67 км су құбыры желілерін қайта құру;</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 xml:space="preserve">7,3 км кәріз желілерін қайта құру; </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lastRenderedPageBreak/>
        <w:t>Сумен жабдықтау және кәріздік тазарту құрылыстарын пайдалану процестерін цифрландыруды аяқтау;</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тұтынушыларға дейін суды өндіруге және тасымалдауға арналған электр энергиясы үлестік шығынын 0,058 кВт/м3 дейін;</w:t>
      </w:r>
    </w:p>
    <w:p w:rsidR="00A8513E" w:rsidRPr="0036389C" w:rsidRDefault="00702B39" w:rsidP="0036389C">
      <w:pPr>
        <w:numPr>
          <w:ilvl w:val="0"/>
          <w:numId w:val="6"/>
        </w:numPr>
        <w:spacing w:after="0" w:line="240" w:lineRule="auto"/>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Судың нормативті - техникалық шығындарын 16,92%-ға дейін төмендету;</w:t>
      </w:r>
    </w:p>
    <w:p w:rsidR="00701192" w:rsidRPr="0036389C" w:rsidRDefault="00701192" w:rsidP="0036389C">
      <w:pPr>
        <w:pStyle w:val="a5"/>
        <w:numPr>
          <w:ilvl w:val="0"/>
          <w:numId w:val="6"/>
        </w:numPr>
        <w:spacing w:after="0" w:line="240" w:lineRule="auto"/>
        <w:jc w:val="both"/>
        <w:rPr>
          <w:rFonts w:ascii="Times New Roman" w:hAnsi="Times New Roman" w:cs="Times New Roman"/>
          <w:bCs/>
          <w:color w:val="0D0D0D" w:themeColor="text1" w:themeTint="F2"/>
          <w:sz w:val="24"/>
          <w:szCs w:val="24"/>
          <w:lang w:val="kk-KZ"/>
        </w:rPr>
      </w:pPr>
      <w:r w:rsidRPr="0036389C">
        <w:rPr>
          <w:rFonts w:ascii="Times New Roman" w:hAnsi="Times New Roman" w:cs="Times New Roman"/>
          <w:bCs/>
          <w:color w:val="0D0D0D" w:themeColor="text1" w:themeTint="F2"/>
          <w:sz w:val="24"/>
          <w:szCs w:val="24"/>
          <w:lang w:val="kk-KZ"/>
        </w:rPr>
        <w:t>Су құбырының тозу деңгейін 46,66%-ға дейін және кәріздің тозу деңгейін 76,98%-ға дейін төмендету.</w:t>
      </w:r>
    </w:p>
    <w:p w:rsidR="00512E31" w:rsidRPr="0036389C" w:rsidRDefault="00512E31" w:rsidP="0036389C">
      <w:pPr>
        <w:spacing w:after="0" w:line="240" w:lineRule="auto"/>
        <w:ind w:firstLine="360"/>
        <w:jc w:val="both"/>
        <w:rPr>
          <w:rFonts w:ascii="Times New Roman" w:hAnsi="Times New Roman" w:cs="Times New Roman"/>
          <w:color w:val="0D0D0D" w:themeColor="text1" w:themeTint="F2"/>
          <w:sz w:val="24"/>
          <w:szCs w:val="24"/>
          <w:lang w:val="kk-KZ"/>
        </w:rPr>
      </w:pPr>
      <w:r w:rsidRPr="0036389C">
        <w:rPr>
          <w:rFonts w:ascii="Times New Roman" w:hAnsi="Times New Roman" w:cs="Times New Roman"/>
          <w:color w:val="0D0D0D" w:themeColor="text1" w:themeTint="F2"/>
          <w:sz w:val="24"/>
          <w:szCs w:val="24"/>
          <w:lang w:val="kk-KZ"/>
        </w:rPr>
        <w:t>Халықты тұрмыстық ауыз сумен жабдықтауды үздіксіз және сапалы қамтамасыз ету, сарқынды суды уақ</w:t>
      </w:r>
      <w:r w:rsidR="00A82786" w:rsidRPr="0036389C">
        <w:rPr>
          <w:rFonts w:ascii="Times New Roman" w:hAnsi="Times New Roman" w:cs="Times New Roman"/>
          <w:color w:val="0D0D0D" w:themeColor="text1" w:themeTint="F2"/>
          <w:sz w:val="24"/>
          <w:szCs w:val="24"/>
          <w:lang w:val="kk-KZ"/>
        </w:rPr>
        <w:t>ы</w:t>
      </w:r>
      <w:r w:rsidRPr="0036389C">
        <w:rPr>
          <w:rFonts w:ascii="Times New Roman" w:hAnsi="Times New Roman" w:cs="Times New Roman"/>
          <w:color w:val="0D0D0D" w:themeColor="text1" w:themeTint="F2"/>
          <w:sz w:val="24"/>
          <w:szCs w:val="24"/>
          <w:lang w:val="kk-KZ"/>
        </w:rPr>
        <w:t>тылы бұру және тазарту су арнасының үзіліссіз, шығынсыз қызметіне байланысты. Әрине халыққа адал қызмет ету, оның сенімін ақтау үшін мекеме қызметкерлері бар күш-жігерін аямай жұмсайды, жүктелген маңызды міндетті абыроймен атқарады.</w:t>
      </w:r>
    </w:p>
    <w:p w:rsidR="00A82786" w:rsidRPr="0036389C" w:rsidRDefault="00A82786" w:rsidP="0036389C">
      <w:pPr>
        <w:spacing w:after="0" w:line="240" w:lineRule="auto"/>
        <w:jc w:val="right"/>
        <w:rPr>
          <w:rFonts w:ascii="Times New Roman" w:hAnsi="Times New Roman" w:cs="Times New Roman"/>
          <w:color w:val="0D0D0D" w:themeColor="text1" w:themeTint="F2"/>
          <w:sz w:val="24"/>
          <w:szCs w:val="24"/>
          <w:lang w:val="kk-KZ"/>
        </w:rPr>
      </w:pPr>
    </w:p>
    <w:p w:rsidR="00154000" w:rsidRPr="00B10C1B" w:rsidRDefault="00154000" w:rsidP="0036389C">
      <w:pPr>
        <w:spacing w:after="0" w:line="240" w:lineRule="auto"/>
        <w:jc w:val="right"/>
        <w:rPr>
          <w:rFonts w:ascii="Times New Roman" w:hAnsi="Times New Roman" w:cs="Times New Roman"/>
          <w:b/>
          <w:color w:val="0D0D0D" w:themeColor="text1" w:themeTint="F2"/>
          <w:sz w:val="24"/>
          <w:szCs w:val="24"/>
          <w:lang w:val="kk-KZ"/>
        </w:rPr>
      </w:pPr>
      <w:r w:rsidRPr="0036389C">
        <w:rPr>
          <w:rFonts w:ascii="Times New Roman" w:hAnsi="Times New Roman" w:cs="Times New Roman"/>
          <w:b/>
          <w:color w:val="0D0D0D" w:themeColor="text1" w:themeTint="F2"/>
          <w:sz w:val="24"/>
          <w:szCs w:val="24"/>
          <w:lang w:val="kk-KZ"/>
        </w:rPr>
        <w:t>«Су ресурстары - Маркетинг» ЖШС-нің баспасөз қызметі.</w:t>
      </w:r>
    </w:p>
    <w:p w:rsidR="00A81BC0" w:rsidRPr="003853CF" w:rsidRDefault="00A81BC0" w:rsidP="0036389C">
      <w:pPr>
        <w:spacing w:after="0" w:line="240" w:lineRule="auto"/>
        <w:jc w:val="both"/>
        <w:rPr>
          <w:rFonts w:ascii="Times New Roman" w:hAnsi="Times New Roman" w:cs="Times New Roman"/>
          <w:color w:val="0D0D0D" w:themeColor="text1" w:themeTint="F2"/>
          <w:sz w:val="24"/>
          <w:szCs w:val="24"/>
          <w:lang w:val="en-US"/>
        </w:rPr>
      </w:pPr>
    </w:p>
    <w:sectPr w:rsidR="00A81BC0" w:rsidRPr="003853CF" w:rsidSect="00A8159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2442"/>
    <w:multiLevelType w:val="hybridMultilevel"/>
    <w:tmpl w:val="4A3A2ACE"/>
    <w:lvl w:ilvl="0" w:tplc="4A724526">
      <w:start w:val="2020"/>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07D25A1"/>
    <w:multiLevelType w:val="hybridMultilevel"/>
    <w:tmpl w:val="8940E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990C01"/>
    <w:multiLevelType w:val="hybridMultilevel"/>
    <w:tmpl w:val="6DCEF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37200"/>
    <w:multiLevelType w:val="hybridMultilevel"/>
    <w:tmpl w:val="8324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353DF0"/>
    <w:multiLevelType w:val="hybridMultilevel"/>
    <w:tmpl w:val="B6742626"/>
    <w:lvl w:ilvl="0" w:tplc="F588E74C">
      <w:numFmt w:val="bullet"/>
      <w:lvlText w:val="-"/>
      <w:lvlJc w:val="left"/>
      <w:pPr>
        <w:ind w:left="720" w:hanging="360"/>
      </w:pPr>
      <w:rPr>
        <w:rFonts w:ascii="Times New Roman" w:eastAsia="Meiryo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9F01F0"/>
    <w:multiLevelType w:val="hybridMultilevel"/>
    <w:tmpl w:val="C5D891BC"/>
    <w:lvl w:ilvl="0" w:tplc="280A4E92">
      <w:start w:val="2009"/>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253BA1"/>
    <w:multiLevelType w:val="hybridMultilevel"/>
    <w:tmpl w:val="B9209EDE"/>
    <w:lvl w:ilvl="0" w:tplc="1E0E58F2">
      <w:start w:val="1"/>
      <w:numFmt w:val="bullet"/>
      <w:lvlText w:val=""/>
      <w:lvlJc w:val="left"/>
      <w:pPr>
        <w:tabs>
          <w:tab w:val="num" w:pos="720"/>
        </w:tabs>
        <w:ind w:left="720" w:hanging="360"/>
      </w:pPr>
      <w:rPr>
        <w:rFonts w:ascii="Wingdings" w:hAnsi="Wingdings" w:hint="default"/>
      </w:rPr>
    </w:lvl>
    <w:lvl w:ilvl="1" w:tplc="D59AF724" w:tentative="1">
      <w:start w:val="1"/>
      <w:numFmt w:val="bullet"/>
      <w:lvlText w:val=""/>
      <w:lvlJc w:val="left"/>
      <w:pPr>
        <w:tabs>
          <w:tab w:val="num" w:pos="1440"/>
        </w:tabs>
        <w:ind w:left="1440" w:hanging="360"/>
      </w:pPr>
      <w:rPr>
        <w:rFonts w:ascii="Wingdings" w:hAnsi="Wingdings" w:hint="default"/>
      </w:rPr>
    </w:lvl>
    <w:lvl w:ilvl="2" w:tplc="DD7A4418" w:tentative="1">
      <w:start w:val="1"/>
      <w:numFmt w:val="bullet"/>
      <w:lvlText w:val=""/>
      <w:lvlJc w:val="left"/>
      <w:pPr>
        <w:tabs>
          <w:tab w:val="num" w:pos="2160"/>
        </w:tabs>
        <w:ind w:left="2160" w:hanging="360"/>
      </w:pPr>
      <w:rPr>
        <w:rFonts w:ascii="Wingdings" w:hAnsi="Wingdings" w:hint="default"/>
      </w:rPr>
    </w:lvl>
    <w:lvl w:ilvl="3" w:tplc="BE0429CE" w:tentative="1">
      <w:start w:val="1"/>
      <w:numFmt w:val="bullet"/>
      <w:lvlText w:val=""/>
      <w:lvlJc w:val="left"/>
      <w:pPr>
        <w:tabs>
          <w:tab w:val="num" w:pos="2880"/>
        </w:tabs>
        <w:ind w:left="2880" w:hanging="360"/>
      </w:pPr>
      <w:rPr>
        <w:rFonts w:ascii="Wingdings" w:hAnsi="Wingdings" w:hint="default"/>
      </w:rPr>
    </w:lvl>
    <w:lvl w:ilvl="4" w:tplc="280CC924" w:tentative="1">
      <w:start w:val="1"/>
      <w:numFmt w:val="bullet"/>
      <w:lvlText w:val=""/>
      <w:lvlJc w:val="left"/>
      <w:pPr>
        <w:tabs>
          <w:tab w:val="num" w:pos="3600"/>
        </w:tabs>
        <w:ind w:left="3600" w:hanging="360"/>
      </w:pPr>
      <w:rPr>
        <w:rFonts w:ascii="Wingdings" w:hAnsi="Wingdings" w:hint="default"/>
      </w:rPr>
    </w:lvl>
    <w:lvl w:ilvl="5" w:tplc="E390B934" w:tentative="1">
      <w:start w:val="1"/>
      <w:numFmt w:val="bullet"/>
      <w:lvlText w:val=""/>
      <w:lvlJc w:val="left"/>
      <w:pPr>
        <w:tabs>
          <w:tab w:val="num" w:pos="4320"/>
        </w:tabs>
        <w:ind w:left="4320" w:hanging="360"/>
      </w:pPr>
      <w:rPr>
        <w:rFonts w:ascii="Wingdings" w:hAnsi="Wingdings" w:hint="default"/>
      </w:rPr>
    </w:lvl>
    <w:lvl w:ilvl="6" w:tplc="A5E01B0A" w:tentative="1">
      <w:start w:val="1"/>
      <w:numFmt w:val="bullet"/>
      <w:lvlText w:val=""/>
      <w:lvlJc w:val="left"/>
      <w:pPr>
        <w:tabs>
          <w:tab w:val="num" w:pos="5040"/>
        </w:tabs>
        <w:ind w:left="5040" w:hanging="360"/>
      </w:pPr>
      <w:rPr>
        <w:rFonts w:ascii="Wingdings" w:hAnsi="Wingdings" w:hint="default"/>
      </w:rPr>
    </w:lvl>
    <w:lvl w:ilvl="7" w:tplc="A4B2DF3E" w:tentative="1">
      <w:start w:val="1"/>
      <w:numFmt w:val="bullet"/>
      <w:lvlText w:val=""/>
      <w:lvlJc w:val="left"/>
      <w:pPr>
        <w:tabs>
          <w:tab w:val="num" w:pos="5760"/>
        </w:tabs>
        <w:ind w:left="5760" w:hanging="360"/>
      </w:pPr>
      <w:rPr>
        <w:rFonts w:ascii="Wingdings" w:hAnsi="Wingdings" w:hint="default"/>
      </w:rPr>
    </w:lvl>
    <w:lvl w:ilvl="8" w:tplc="CDB4222A" w:tentative="1">
      <w:start w:val="1"/>
      <w:numFmt w:val="bullet"/>
      <w:lvlText w:val=""/>
      <w:lvlJc w:val="left"/>
      <w:pPr>
        <w:tabs>
          <w:tab w:val="num" w:pos="6480"/>
        </w:tabs>
        <w:ind w:left="6480" w:hanging="360"/>
      </w:pPr>
      <w:rPr>
        <w:rFonts w:ascii="Wingdings" w:hAnsi="Wingdings" w:hint="default"/>
      </w:rPr>
    </w:lvl>
  </w:abstractNum>
  <w:abstractNum w:abstractNumId="7">
    <w:nsid w:val="4BD57C3E"/>
    <w:multiLevelType w:val="hybridMultilevel"/>
    <w:tmpl w:val="04A0D02C"/>
    <w:lvl w:ilvl="0" w:tplc="F588E74C">
      <w:numFmt w:val="bullet"/>
      <w:lvlText w:val="-"/>
      <w:lvlJc w:val="left"/>
      <w:pPr>
        <w:ind w:left="720" w:hanging="360"/>
      </w:pPr>
      <w:rPr>
        <w:rFonts w:ascii="Times New Roman" w:eastAsia="Meiryo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A53149"/>
    <w:multiLevelType w:val="hybridMultilevel"/>
    <w:tmpl w:val="845E8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A85677"/>
    <w:multiLevelType w:val="hybridMultilevel"/>
    <w:tmpl w:val="1D62B6DA"/>
    <w:numStyleLink w:val="3"/>
  </w:abstractNum>
  <w:abstractNum w:abstractNumId="10">
    <w:nsid w:val="5D677753"/>
    <w:multiLevelType w:val="hybridMultilevel"/>
    <w:tmpl w:val="1D62B6DA"/>
    <w:styleLink w:val="3"/>
    <w:lvl w:ilvl="0" w:tplc="3E3A9D88">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FE5BF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C4C482">
      <w:start w:val="1"/>
      <w:numFmt w:val="lowerRoman"/>
      <w:lvlText w:val="%3."/>
      <w:lvlJc w:val="left"/>
      <w:pPr>
        <w:ind w:left="208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60692A">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E8E83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465320">
      <w:start w:val="1"/>
      <w:numFmt w:val="lowerRoman"/>
      <w:lvlText w:val="%6."/>
      <w:lvlJc w:val="left"/>
      <w:pPr>
        <w:ind w:left="424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22868C">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8E63DE">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C9C80">
      <w:start w:val="1"/>
      <w:numFmt w:val="lowerRoman"/>
      <w:lvlText w:val="%9."/>
      <w:lvlJc w:val="left"/>
      <w:pPr>
        <w:ind w:left="640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00977EA"/>
    <w:multiLevelType w:val="hybridMultilevel"/>
    <w:tmpl w:val="189C7868"/>
    <w:lvl w:ilvl="0" w:tplc="04190001">
      <w:start w:val="1"/>
      <w:numFmt w:val="bullet"/>
      <w:lvlText w:val=""/>
      <w:lvlJc w:val="left"/>
      <w:pPr>
        <w:ind w:left="70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3"/>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8"/>
    </w:lvlOverride>
  </w:num>
  <w:num w:numId="6">
    <w:abstractNumId w:val="8"/>
  </w:num>
  <w:num w:numId="7">
    <w:abstractNumId w:val="2"/>
  </w:num>
  <w:num w:numId="8">
    <w:abstractNumId w:val="1"/>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D9"/>
    <w:rsid w:val="000408ED"/>
    <w:rsid w:val="0005754C"/>
    <w:rsid w:val="00067999"/>
    <w:rsid w:val="00076D95"/>
    <w:rsid w:val="000859ED"/>
    <w:rsid w:val="00087B56"/>
    <w:rsid w:val="000C4102"/>
    <w:rsid w:val="000D044E"/>
    <w:rsid w:val="000D2DA6"/>
    <w:rsid w:val="000E035D"/>
    <w:rsid w:val="00130378"/>
    <w:rsid w:val="00154000"/>
    <w:rsid w:val="00190241"/>
    <w:rsid w:val="001B0A7E"/>
    <w:rsid w:val="001D503A"/>
    <w:rsid w:val="001E30B7"/>
    <w:rsid w:val="002002E9"/>
    <w:rsid w:val="00235986"/>
    <w:rsid w:val="00262F94"/>
    <w:rsid w:val="00270317"/>
    <w:rsid w:val="00283B04"/>
    <w:rsid w:val="00292101"/>
    <w:rsid w:val="002A1E32"/>
    <w:rsid w:val="002A4FDF"/>
    <w:rsid w:val="002C5A56"/>
    <w:rsid w:val="002F3B5B"/>
    <w:rsid w:val="002F4226"/>
    <w:rsid w:val="00303887"/>
    <w:rsid w:val="003058CF"/>
    <w:rsid w:val="00320DDE"/>
    <w:rsid w:val="0032419D"/>
    <w:rsid w:val="00354F6D"/>
    <w:rsid w:val="0036389C"/>
    <w:rsid w:val="00367F74"/>
    <w:rsid w:val="00373EED"/>
    <w:rsid w:val="003853CF"/>
    <w:rsid w:val="00430037"/>
    <w:rsid w:val="004419EE"/>
    <w:rsid w:val="00442B9A"/>
    <w:rsid w:val="0045157A"/>
    <w:rsid w:val="00456311"/>
    <w:rsid w:val="004D245A"/>
    <w:rsid w:val="004D783D"/>
    <w:rsid w:val="004E3A36"/>
    <w:rsid w:val="004F083D"/>
    <w:rsid w:val="004F1FF7"/>
    <w:rsid w:val="005013A2"/>
    <w:rsid w:val="00502336"/>
    <w:rsid w:val="005115B0"/>
    <w:rsid w:val="00512E31"/>
    <w:rsid w:val="00531E10"/>
    <w:rsid w:val="00532451"/>
    <w:rsid w:val="00536ECC"/>
    <w:rsid w:val="00552901"/>
    <w:rsid w:val="00555AFC"/>
    <w:rsid w:val="00556103"/>
    <w:rsid w:val="00582459"/>
    <w:rsid w:val="005B1B9B"/>
    <w:rsid w:val="00620764"/>
    <w:rsid w:val="006263F9"/>
    <w:rsid w:val="006471A1"/>
    <w:rsid w:val="00660C65"/>
    <w:rsid w:val="006811C9"/>
    <w:rsid w:val="006D0415"/>
    <w:rsid w:val="006D5DFC"/>
    <w:rsid w:val="00700A9E"/>
    <w:rsid w:val="00701192"/>
    <w:rsid w:val="00702B39"/>
    <w:rsid w:val="0070444F"/>
    <w:rsid w:val="00716F4E"/>
    <w:rsid w:val="00717406"/>
    <w:rsid w:val="00794F77"/>
    <w:rsid w:val="00807179"/>
    <w:rsid w:val="00840A7C"/>
    <w:rsid w:val="00850244"/>
    <w:rsid w:val="00875D8D"/>
    <w:rsid w:val="00896281"/>
    <w:rsid w:val="008E23C9"/>
    <w:rsid w:val="008E256C"/>
    <w:rsid w:val="00915785"/>
    <w:rsid w:val="00930843"/>
    <w:rsid w:val="009444DA"/>
    <w:rsid w:val="00951003"/>
    <w:rsid w:val="00971040"/>
    <w:rsid w:val="00984BD4"/>
    <w:rsid w:val="0099047B"/>
    <w:rsid w:val="009B7C87"/>
    <w:rsid w:val="009C2BC2"/>
    <w:rsid w:val="009E04BB"/>
    <w:rsid w:val="009F1F77"/>
    <w:rsid w:val="009F2E8E"/>
    <w:rsid w:val="00A03900"/>
    <w:rsid w:val="00A0476E"/>
    <w:rsid w:val="00A269E9"/>
    <w:rsid w:val="00A33A4E"/>
    <w:rsid w:val="00A404B3"/>
    <w:rsid w:val="00A72C4B"/>
    <w:rsid w:val="00A81592"/>
    <w:rsid w:val="00A81BC0"/>
    <w:rsid w:val="00A82786"/>
    <w:rsid w:val="00A8513E"/>
    <w:rsid w:val="00A876D6"/>
    <w:rsid w:val="00AD54C6"/>
    <w:rsid w:val="00AE79AE"/>
    <w:rsid w:val="00B06377"/>
    <w:rsid w:val="00B10C1B"/>
    <w:rsid w:val="00B2511A"/>
    <w:rsid w:val="00B348B4"/>
    <w:rsid w:val="00B37866"/>
    <w:rsid w:val="00B478D5"/>
    <w:rsid w:val="00B75FFE"/>
    <w:rsid w:val="00B76EB3"/>
    <w:rsid w:val="00B92985"/>
    <w:rsid w:val="00BB5D16"/>
    <w:rsid w:val="00BD2818"/>
    <w:rsid w:val="00BE59C9"/>
    <w:rsid w:val="00BF4838"/>
    <w:rsid w:val="00C02D49"/>
    <w:rsid w:val="00C0690A"/>
    <w:rsid w:val="00C06ED9"/>
    <w:rsid w:val="00C23A0B"/>
    <w:rsid w:val="00C504B4"/>
    <w:rsid w:val="00C56696"/>
    <w:rsid w:val="00C8136A"/>
    <w:rsid w:val="00CA4092"/>
    <w:rsid w:val="00CC2162"/>
    <w:rsid w:val="00CC7905"/>
    <w:rsid w:val="00CD1EEE"/>
    <w:rsid w:val="00CD78D5"/>
    <w:rsid w:val="00CE6FA8"/>
    <w:rsid w:val="00D01E08"/>
    <w:rsid w:val="00D07EEF"/>
    <w:rsid w:val="00D13610"/>
    <w:rsid w:val="00D569D7"/>
    <w:rsid w:val="00D631E5"/>
    <w:rsid w:val="00D71C40"/>
    <w:rsid w:val="00D8343D"/>
    <w:rsid w:val="00DA2E02"/>
    <w:rsid w:val="00DE4ED4"/>
    <w:rsid w:val="00E0397E"/>
    <w:rsid w:val="00E4091C"/>
    <w:rsid w:val="00E41CF9"/>
    <w:rsid w:val="00EA0315"/>
    <w:rsid w:val="00EA26A4"/>
    <w:rsid w:val="00EA3474"/>
    <w:rsid w:val="00EC6428"/>
    <w:rsid w:val="00EE36D9"/>
    <w:rsid w:val="00EF07D9"/>
    <w:rsid w:val="00EF4876"/>
    <w:rsid w:val="00F43BA2"/>
    <w:rsid w:val="00F90964"/>
    <w:rsid w:val="00FC089F"/>
    <w:rsid w:val="00FF0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1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C2B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02D49"/>
    <w:pPr>
      <w:ind w:left="720"/>
      <w:contextualSpacing/>
    </w:pPr>
  </w:style>
  <w:style w:type="paragraph" w:styleId="a6">
    <w:name w:val="Balloon Text"/>
    <w:basedOn w:val="a"/>
    <w:link w:val="a7"/>
    <w:uiPriority w:val="99"/>
    <w:semiHidden/>
    <w:unhideWhenUsed/>
    <w:rsid w:val="00EA26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26A4"/>
    <w:rPr>
      <w:rFonts w:ascii="Tahoma" w:hAnsi="Tahoma" w:cs="Tahoma"/>
      <w:sz w:val="16"/>
      <w:szCs w:val="16"/>
    </w:rPr>
  </w:style>
  <w:style w:type="numbering" w:customStyle="1" w:styleId="3">
    <w:name w:val="Импортированный стиль 3"/>
    <w:rsid w:val="00A81592"/>
    <w:pPr>
      <w:numPr>
        <w:numId w:val="4"/>
      </w:numPr>
    </w:pPr>
  </w:style>
  <w:style w:type="character" w:customStyle="1" w:styleId="a8">
    <w:name w:val="Основной текст_"/>
    <w:basedOn w:val="a0"/>
    <w:link w:val="11"/>
    <w:rsid w:val="00292101"/>
    <w:rPr>
      <w:rFonts w:ascii="Times New Roman" w:eastAsia="Times New Roman" w:hAnsi="Times New Roman" w:cs="Times New Roman"/>
      <w:sz w:val="28"/>
      <w:szCs w:val="28"/>
    </w:rPr>
  </w:style>
  <w:style w:type="paragraph" w:customStyle="1" w:styleId="11">
    <w:name w:val="Основной текст1"/>
    <w:basedOn w:val="a"/>
    <w:link w:val="a8"/>
    <w:rsid w:val="00292101"/>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5115B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1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C2B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02D49"/>
    <w:pPr>
      <w:ind w:left="720"/>
      <w:contextualSpacing/>
    </w:pPr>
  </w:style>
  <w:style w:type="paragraph" w:styleId="a6">
    <w:name w:val="Balloon Text"/>
    <w:basedOn w:val="a"/>
    <w:link w:val="a7"/>
    <w:uiPriority w:val="99"/>
    <w:semiHidden/>
    <w:unhideWhenUsed/>
    <w:rsid w:val="00EA26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26A4"/>
    <w:rPr>
      <w:rFonts w:ascii="Tahoma" w:hAnsi="Tahoma" w:cs="Tahoma"/>
      <w:sz w:val="16"/>
      <w:szCs w:val="16"/>
    </w:rPr>
  </w:style>
  <w:style w:type="numbering" w:customStyle="1" w:styleId="3">
    <w:name w:val="Импортированный стиль 3"/>
    <w:rsid w:val="00A81592"/>
    <w:pPr>
      <w:numPr>
        <w:numId w:val="4"/>
      </w:numPr>
    </w:pPr>
  </w:style>
  <w:style w:type="character" w:customStyle="1" w:styleId="a8">
    <w:name w:val="Основной текст_"/>
    <w:basedOn w:val="a0"/>
    <w:link w:val="11"/>
    <w:rsid w:val="00292101"/>
    <w:rPr>
      <w:rFonts w:ascii="Times New Roman" w:eastAsia="Times New Roman" w:hAnsi="Times New Roman" w:cs="Times New Roman"/>
      <w:sz w:val="28"/>
      <w:szCs w:val="28"/>
    </w:rPr>
  </w:style>
  <w:style w:type="paragraph" w:customStyle="1" w:styleId="11">
    <w:name w:val="Основной текст1"/>
    <w:basedOn w:val="a"/>
    <w:link w:val="a8"/>
    <w:rsid w:val="00292101"/>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5115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7066">
      <w:bodyDiv w:val="1"/>
      <w:marLeft w:val="0"/>
      <w:marRight w:val="0"/>
      <w:marTop w:val="0"/>
      <w:marBottom w:val="0"/>
      <w:divBdr>
        <w:top w:val="none" w:sz="0" w:space="0" w:color="auto"/>
        <w:left w:val="none" w:sz="0" w:space="0" w:color="auto"/>
        <w:bottom w:val="none" w:sz="0" w:space="0" w:color="auto"/>
        <w:right w:val="none" w:sz="0" w:space="0" w:color="auto"/>
      </w:divBdr>
    </w:div>
    <w:div w:id="932739223">
      <w:bodyDiv w:val="1"/>
      <w:marLeft w:val="0"/>
      <w:marRight w:val="0"/>
      <w:marTop w:val="0"/>
      <w:marBottom w:val="0"/>
      <w:divBdr>
        <w:top w:val="none" w:sz="0" w:space="0" w:color="auto"/>
        <w:left w:val="none" w:sz="0" w:space="0" w:color="auto"/>
        <w:bottom w:val="none" w:sz="0" w:space="0" w:color="auto"/>
        <w:right w:val="none" w:sz="0" w:space="0" w:color="auto"/>
      </w:divBdr>
    </w:div>
    <w:div w:id="987125862">
      <w:bodyDiv w:val="1"/>
      <w:marLeft w:val="0"/>
      <w:marRight w:val="0"/>
      <w:marTop w:val="0"/>
      <w:marBottom w:val="0"/>
      <w:divBdr>
        <w:top w:val="none" w:sz="0" w:space="0" w:color="auto"/>
        <w:left w:val="none" w:sz="0" w:space="0" w:color="auto"/>
        <w:bottom w:val="none" w:sz="0" w:space="0" w:color="auto"/>
        <w:right w:val="none" w:sz="0" w:space="0" w:color="auto"/>
      </w:divBdr>
    </w:div>
    <w:div w:id="1265646802">
      <w:bodyDiv w:val="1"/>
      <w:marLeft w:val="0"/>
      <w:marRight w:val="0"/>
      <w:marTop w:val="0"/>
      <w:marBottom w:val="0"/>
      <w:divBdr>
        <w:top w:val="none" w:sz="0" w:space="0" w:color="auto"/>
        <w:left w:val="none" w:sz="0" w:space="0" w:color="auto"/>
        <w:bottom w:val="none" w:sz="0" w:space="0" w:color="auto"/>
        <w:right w:val="none" w:sz="0" w:space="0" w:color="auto"/>
      </w:divBdr>
    </w:div>
    <w:div w:id="1335570515">
      <w:bodyDiv w:val="1"/>
      <w:marLeft w:val="0"/>
      <w:marRight w:val="0"/>
      <w:marTop w:val="0"/>
      <w:marBottom w:val="0"/>
      <w:divBdr>
        <w:top w:val="none" w:sz="0" w:space="0" w:color="auto"/>
        <w:left w:val="none" w:sz="0" w:space="0" w:color="auto"/>
        <w:bottom w:val="none" w:sz="0" w:space="0" w:color="auto"/>
        <w:right w:val="none" w:sz="0" w:space="0" w:color="auto"/>
      </w:divBdr>
    </w:div>
    <w:div w:id="1357386122">
      <w:bodyDiv w:val="1"/>
      <w:marLeft w:val="0"/>
      <w:marRight w:val="0"/>
      <w:marTop w:val="0"/>
      <w:marBottom w:val="0"/>
      <w:divBdr>
        <w:top w:val="none" w:sz="0" w:space="0" w:color="auto"/>
        <w:left w:val="none" w:sz="0" w:space="0" w:color="auto"/>
        <w:bottom w:val="none" w:sz="0" w:space="0" w:color="auto"/>
        <w:right w:val="none" w:sz="0" w:space="0" w:color="auto"/>
      </w:divBdr>
    </w:div>
    <w:div w:id="1381855012">
      <w:bodyDiv w:val="1"/>
      <w:marLeft w:val="0"/>
      <w:marRight w:val="0"/>
      <w:marTop w:val="0"/>
      <w:marBottom w:val="0"/>
      <w:divBdr>
        <w:top w:val="none" w:sz="0" w:space="0" w:color="auto"/>
        <w:left w:val="none" w:sz="0" w:space="0" w:color="auto"/>
        <w:bottom w:val="none" w:sz="0" w:space="0" w:color="auto"/>
        <w:right w:val="none" w:sz="0" w:space="0" w:color="auto"/>
      </w:divBdr>
      <w:divsChild>
        <w:div w:id="78648830">
          <w:marLeft w:val="547"/>
          <w:marRight w:val="0"/>
          <w:marTop w:val="0"/>
          <w:marBottom w:val="0"/>
          <w:divBdr>
            <w:top w:val="none" w:sz="0" w:space="0" w:color="auto"/>
            <w:left w:val="none" w:sz="0" w:space="0" w:color="auto"/>
            <w:bottom w:val="none" w:sz="0" w:space="0" w:color="auto"/>
            <w:right w:val="none" w:sz="0" w:space="0" w:color="auto"/>
          </w:divBdr>
        </w:div>
        <w:div w:id="865563621">
          <w:marLeft w:val="547"/>
          <w:marRight w:val="0"/>
          <w:marTop w:val="0"/>
          <w:marBottom w:val="0"/>
          <w:divBdr>
            <w:top w:val="none" w:sz="0" w:space="0" w:color="auto"/>
            <w:left w:val="none" w:sz="0" w:space="0" w:color="auto"/>
            <w:bottom w:val="none" w:sz="0" w:space="0" w:color="auto"/>
            <w:right w:val="none" w:sz="0" w:space="0" w:color="auto"/>
          </w:divBdr>
        </w:div>
        <w:div w:id="2101293102">
          <w:marLeft w:val="547"/>
          <w:marRight w:val="0"/>
          <w:marTop w:val="0"/>
          <w:marBottom w:val="0"/>
          <w:divBdr>
            <w:top w:val="none" w:sz="0" w:space="0" w:color="auto"/>
            <w:left w:val="none" w:sz="0" w:space="0" w:color="auto"/>
            <w:bottom w:val="none" w:sz="0" w:space="0" w:color="auto"/>
            <w:right w:val="none" w:sz="0" w:space="0" w:color="auto"/>
          </w:divBdr>
        </w:div>
        <w:div w:id="827096204">
          <w:marLeft w:val="547"/>
          <w:marRight w:val="0"/>
          <w:marTop w:val="0"/>
          <w:marBottom w:val="0"/>
          <w:divBdr>
            <w:top w:val="none" w:sz="0" w:space="0" w:color="auto"/>
            <w:left w:val="none" w:sz="0" w:space="0" w:color="auto"/>
            <w:bottom w:val="none" w:sz="0" w:space="0" w:color="auto"/>
            <w:right w:val="none" w:sz="0" w:space="0" w:color="auto"/>
          </w:divBdr>
        </w:div>
        <w:div w:id="557058547">
          <w:marLeft w:val="547"/>
          <w:marRight w:val="0"/>
          <w:marTop w:val="0"/>
          <w:marBottom w:val="0"/>
          <w:divBdr>
            <w:top w:val="none" w:sz="0" w:space="0" w:color="auto"/>
            <w:left w:val="none" w:sz="0" w:space="0" w:color="auto"/>
            <w:bottom w:val="none" w:sz="0" w:space="0" w:color="auto"/>
            <w:right w:val="none" w:sz="0" w:space="0" w:color="auto"/>
          </w:divBdr>
        </w:div>
        <w:div w:id="518200900">
          <w:marLeft w:val="547"/>
          <w:marRight w:val="0"/>
          <w:marTop w:val="0"/>
          <w:marBottom w:val="0"/>
          <w:divBdr>
            <w:top w:val="none" w:sz="0" w:space="0" w:color="auto"/>
            <w:left w:val="none" w:sz="0" w:space="0" w:color="auto"/>
            <w:bottom w:val="none" w:sz="0" w:space="0" w:color="auto"/>
            <w:right w:val="none" w:sz="0" w:space="0" w:color="auto"/>
          </w:divBdr>
        </w:div>
        <w:div w:id="376050987">
          <w:marLeft w:val="547"/>
          <w:marRight w:val="0"/>
          <w:marTop w:val="0"/>
          <w:marBottom w:val="0"/>
          <w:divBdr>
            <w:top w:val="none" w:sz="0" w:space="0" w:color="auto"/>
            <w:left w:val="none" w:sz="0" w:space="0" w:color="auto"/>
            <w:bottom w:val="none" w:sz="0" w:space="0" w:color="auto"/>
            <w:right w:val="none" w:sz="0" w:space="0" w:color="auto"/>
          </w:divBdr>
        </w:div>
        <w:div w:id="1231232014">
          <w:marLeft w:val="547"/>
          <w:marRight w:val="0"/>
          <w:marTop w:val="0"/>
          <w:marBottom w:val="0"/>
          <w:divBdr>
            <w:top w:val="none" w:sz="0" w:space="0" w:color="auto"/>
            <w:left w:val="none" w:sz="0" w:space="0" w:color="auto"/>
            <w:bottom w:val="none" w:sz="0" w:space="0" w:color="auto"/>
            <w:right w:val="none" w:sz="0" w:space="0" w:color="auto"/>
          </w:divBdr>
        </w:div>
        <w:div w:id="1548757307">
          <w:marLeft w:val="547"/>
          <w:marRight w:val="0"/>
          <w:marTop w:val="0"/>
          <w:marBottom w:val="0"/>
          <w:divBdr>
            <w:top w:val="none" w:sz="0" w:space="0" w:color="auto"/>
            <w:left w:val="none" w:sz="0" w:space="0" w:color="auto"/>
            <w:bottom w:val="none" w:sz="0" w:space="0" w:color="auto"/>
            <w:right w:val="none" w:sz="0" w:space="0" w:color="auto"/>
          </w:divBdr>
        </w:div>
      </w:divsChild>
    </w:div>
    <w:div w:id="1569875880">
      <w:bodyDiv w:val="1"/>
      <w:marLeft w:val="0"/>
      <w:marRight w:val="0"/>
      <w:marTop w:val="0"/>
      <w:marBottom w:val="0"/>
      <w:divBdr>
        <w:top w:val="none" w:sz="0" w:space="0" w:color="auto"/>
        <w:left w:val="none" w:sz="0" w:space="0" w:color="auto"/>
        <w:bottom w:val="none" w:sz="0" w:space="0" w:color="auto"/>
        <w:right w:val="none" w:sz="0" w:space="0" w:color="auto"/>
      </w:divBdr>
    </w:div>
    <w:div w:id="17098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483576158963105E-2"/>
          <c:y val="0"/>
          <c:w val="0.93975903117475401"/>
          <c:h val="0.78284054296997307"/>
        </c:manualLayout>
      </c:layout>
      <c:barChart>
        <c:barDir val="col"/>
        <c:grouping val="clustered"/>
        <c:varyColors val="0"/>
        <c:ser>
          <c:idx val="0"/>
          <c:order val="0"/>
          <c:tx>
            <c:strRef>
              <c:f>Лист1!$B$1</c:f>
              <c:strCache>
                <c:ptCount val="1"/>
                <c:pt idx="0">
                  <c:v>Ряд 1</c:v>
                </c:pt>
              </c:strCache>
            </c:strRef>
          </c:tx>
          <c:invertIfNegative val="0"/>
          <c:dPt>
            <c:idx val="2"/>
            <c:invertIfNegative val="0"/>
            <c:bubble3D val="0"/>
            <c:spPr>
              <a:solidFill>
                <a:srgbClr val="00B050"/>
              </a:solidFill>
            </c:spPr>
          </c:dPt>
          <c:dPt>
            <c:idx val="3"/>
            <c:invertIfNegative val="0"/>
            <c:bubble3D val="0"/>
            <c:spPr>
              <a:solidFill>
                <a:srgbClr val="FF0000">
                  <a:alpha val="55000"/>
                </a:srgbClr>
              </a:solidFill>
            </c:spPr>
          </c:dPt>
          <c:dLbls>
            <c:dLbl>
              <c:idx val="1"/>
              <c:layout/>
              <c:tx>
                <c:rich>
                  <a:bodyPr/>
                  <a:lstStyle/>
                  <a:p>
                    <a:r>
                      <a:rPr lang="ru-RU"/>
                      <a:t>50</a:t>
                    </a:r>
                    <a:r>
                      <a:rPr lang="en-US"/>
                      <a:t> </a:t>
                    </a:r>
                    <a:r>
                      <a:rPr lang="ru-RU"/>
                      <a:t>5</a:t>
                    </a:r>
                    <a:r>
                      <a:rPr lang="en-US"/>
                      <a:t>20</a:t>
                    </a:r>
                  </a:p>
                </c:rich>
              </c:tx>
              <c:showLegendKey val="0"/>
              <c:showVal val="1"/>
              <c:showCatName val="0"/>
              <c:showSerName val="0"/>
              <c:showPercent val="0"/>
              <c:showBubbleSize val="0"/>
            </c:dLbl>
            <c:dLbl>
              <c:idx val="2"/>
              <c:layout/>
              <c:tx>
                <c:rich>
                  <a:bodyPr/>
                  <a:lstStyle/>
                  <a:p>
                    <a:r>
                      <a:rPr lang="en-US"/>
                      <a:t>1</a:t>
                    </a:r>
                    <a:r>
                      <a:rPr lang="ru-RU"/>
                      <a:t>8</a:t>
                    </a:r>
                    <a:r>
                      <a:rPr lang="en-US"/>
                      <a:t> </a:t>
                    </a:r>
                    <a:r>
                      <a:rPr lang="ru-RU"/>
                      <a:t>500</a:t>
                    </a:r>
                    <a:endParaRPr lang="en-US"/>
                  </a:p>
                </c:rich>
              </c:tx>
              <c:showLegendKey val="0"/>
              <c:showVal val="1"/>
              <c:showCatName val="0"/>
              <c:showSerName val="0"/>
              <c:showPercent val="0"/>
              <c:showBubbleSize val="0"/>
            </c:dLbl>
            <c:dLbl>
              <c:idx val="3"/>
              <c:tx>
                <c:rich>
                  <a:bodyPr/>
                  <a:lstStyle/>
                  <a:p>
                    <a:r>
                      <a:rPr lang="en-US"/>
                      <a:t>5</a:t>
                    </a:r>
                    <a:r>
                      <a:rPr lang="ru-RU"/>
                      <a:t>1</a:t>
                    </a:r>
                    <a:r>
                      <a:rPr lang="en-US"/>
                      <a:t> </a:t>
                    </a:r>
                    <a:r>
                      <a:rPr lang="ru-RU"/>
                      <a:t>700</a:t>
                    </a:r>
                    <a:endParaRPr lang="en-US"/>
                  </a:p>
                </c:rich>
              </c:tx>
              <c:showLegendKey val="0"/>
              <c:showVal val="1"/>
              <c:showCatName val="0"/>
              <c:showSerName val="0"/>
              <c:showPercent val="0"/>
              <c:showBubbleSize val="0"/>
            </c:dLbl>
            <c:dLbl>
              <c:idx val="4"/>
              <c:tx>
                <c:rich>
                  <a:bodyPr/>
                  <a:lstStyle/>
                  <a:p>
                    <a:r>
                      <a:rPr lang="kk-KZ" sz="1100" dirty="0" smtClean="0"/>
                      <a:t>21676</a:t>
                    </a:r>
                    <a:endParaRPr lang="en-US" dirty="0"/>
                  </a:p>
                </c:rich>
              </c:tx>
              <c:showLegendKey val="0"/>
              <c:showVal val="1"/>
              <c:showCatName val="0"/>
              <c:showSerName val="0"/>
              <c:showPercent val="0"/>
              <c:showBubbleSize val="0"/>
            </c:dLbl>
            <c:numFmt formatCode="#,##0" sourceLinked="0"/>
            <c:txPr>
              <a:bodyPr/>
              <a:lstStyle/>
              <a:p>
                <a:pPr>
                  <a:defRPr sz="1100" b="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Лист1!$A$2:$A$4</c:f>
              <c:strCache>
                <c:ptCount val="3"/>
                <c:pt idx="0">
                  <c:v>Жыл сайынғы қымбаттау коэффициентін ескере отырып, инвестицияның негіздемесімен анықталған жалпы сома (2015-2025 жж.)</c:v>
                </c:pt>
                <c:pt idx="1">
                  <c:v>оның ішінде 2015-2021жж. арналған жоспар</c:v>
                </c:pt>
                <c:pt idx="2">
                  <c:v>Шымкент қаласының сумен жабдықтау және су бұру жүйесіне бағытталған "Су ресурстары-Маркетинг" ЖШС инвестициялары (2015-2021жж)</c:v>
                </c:pt>
              </c:strCache>
            </c:strRef>
          </c:cat>
          <c:val>
            <c:numRef>
              <c:f>Лист1!$B$2:$B$4</c:f>
              <c:numCache>
                <c:formatCode>General</c:formatCode>
                <c:ptCount val="3"/>
                <c:pt idx="0">
                  <c:v>70200</c:v>
                </c:pt>
                <c:pt idx="1">
                  <c:v>50520</c:v>
                </c:pt>
                <c:pt idx="2">
                  <c:v>18500</c:v>
                </c:pt>
              </c:numCache>
            </c:numRef>
          </c:val>
        </c:ser>
        <c:dLbls>
          <c:showLegendKey val="0"/>
          <c:showVal val="1"/>
          <c:showCatName val="0"/>
          <c:showSerName val="0"/>
          <c:showPercent val="0"/>
          <c:showBubbleSize val="0"/>
        </c:dLbls>
        <c:gapWidth val="150"/>
        <c:overlap val="-25"/>
        <c:axId val="164451840"/>
        <c:axId val="174032000"/>
      </c:barChart>
      <c:catAx>
        <c:axId val="164451840"/>
        <c:scaling>
          <c:orientation val="minMax"/>
        </c:scaling>
        <c:delete val="0"/>
        <c:axPos val="b"/>
        <c:majorTickMark val="none"/>
        <c:minorTickMark val="none"/>
        <c:tickLblPos val="nextTo"/>
        <c:txPr>
          <a:bodyPr/>
          <a:lstStyle/>
          <a:p>
            <a:pPr>
              <a:defRPr sz="700" b="1">
                <a:latin typeface="Arial" pitchFamily="34" charset="0"/>
                <a:cs typeface="Arial" pitchFamily="34" charset="0"/>
              </a:defRPr>
            </a:pPr>
            <a:endParaRPr lang="ru-RU"/>
          </a:p>
        </c:txPr>
        <c:crossAx val="174032000"/>
        <c:crosses val="autoZero"/>
        <c:auto val="1"/>
        <c:lblAlgn val="ctr"/>
        <c:lblOffset val="100"/>
        <c:noMultiLvlLbl val="0"/>
      </c:catAx>
      <c:valAx>
        <c:axId val="174032000"/>
        <c:scaling>
          <c:orientation val="minMax"/>
        </c:scaling>
        <c:delete val="1"/>
        <c:axPos val="l"/>
        <c:numFmt formatCode="General" sourceLinked="1"/>
        <c:majorTickMark val="out"/>
        <c:minorTickMark val="none"/>
        <c:tickLblPos val="nextTo"/>
        <c:crossAx val="164451840"/>
        <c:crosses val="autoZero"/>
        <c:crossBetween val="between"/>
      </c:valAx>
    </c:plotArea>
    <c:plotVisOnly val="1"/>
    <c:dispBlanksAs val="gap"/>
    <c:showDLblsOverMax val="0"/>
  </c:chart>
  <c:spPr>
    <a:ln>
      <a:solidFill>
        <a:schemeClr val="accent1"/>
      </a:solidFill>
    </a:ln>
  </c:spPr>
  <c:txPr>
    <a:bodyPr/>
    <a:lstStyle/>
    <a:p>
      <a:pPr>
        <a:defRPr sz="18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5.6759069499874158E-2"/>
          <c:y val="5.9379217273954114E-2"/>
          <c:w val="0.91536587606914432"/>
          <c:h val="0.67011773998469626"/>
        </c:manualLayout>
      </c:layout>
      <c:barChart>
        <c:barDir val="col"/>
        <c:grouping val="clustered"/>
        <c:varyColors val="0"/>
        <c:ser>
          <c:idx val="0"/>
          <c:order val="0"/>
          <c:tx>
            <c:strRef>
              <c:f>Лист1!$B$1</c:f>
              <c:strCache>
                <c:ptCount val="1"/>
                <c:pt idx="0">
                  <c:v>План</c:v>
                </c:pt>
              </c:strCache>
            </c:strRef>
          </c:tx>
          <c:invertIfNegative val="0"/>
          <c:dPt>
            <c:idx val="4"/>
            <c:invertIfNegative val="0"/>
            <c:bubble3D val="0"/>
          </c:dPt>
          <c:cat>
            <c:strRef>
              <c:f>Лист1!$A$2:$A$8</c:f>
              <c:strCache>
                <c:ptCount val="7"/>
                <c:pt idx="0">
                  <c:v>Нұрсұлтан қаласы</c:v>
                </c:pt>
                <c:pt idx="1">
                  <c:v>Алматы қаласы</c:v>
                </c:pt>
                <c:pt idx="2">
                  <c:v>Жамбыл облысы</c:v>
                </c:pt>
                <c:pt idx="3">
                  <c:v>Шымкент қаласы</c:v>
                </c:pt>
                <c:pt idx="4">
                  <c:v>Түркістан облысы</c:v>
                </c:pt>
                <c:pt idx="5">
                  <c:v>Су және кәріз, қоқыстарды жинау саласындағы Қазақстан Республикадағы орташа айлық</c:v>
                </c:pt>
                <c:pt idx="6">
                  <c:v>"Су ресурстары-Маркетинг" ЖШС</c:v>
                </c:pt>
              </c:strCache>
            </c:strRef>
          </c:cat>
          <c:val>
            <c:numRef>
              <c:f>Лист1!$B$2:$B$8</c:f>
              <c:numCache>
                <c:formatCode>General</c:formatCode>
                <c:ptCount val="7"/>
                <c:pt idx="0">
                  <c:v>391373</c:v>
                </c:pt>
                <c:pt idx="1">
                  <c:v>329103</c:v>
                </c:pt>
                <c:pt idx="2">
                  <c:v>215580</c:v>
                </c:pt>
                <c:pt idx="3">
                  <c:v>209308</c:v>
                </c:pt>
                <c:pt idx="4" formatCode="0">
                  <c:v>207929</c:v>
                </c:pt>
                <c:pt idx="5">
                  <c:v>169125</c:v>
                </c:pt>
                <c:pt idx="6">
                  <c:v>126159</c:v>
                </c:pt>
              </c:numCache>
            </c:numRef>
          </c:val>
          <c:extLst xmlns:c16r2="http://schemas.microsoft.com/office/drawing/2015/06/chart">
            <c:ext xmlns:c16="http://schemas.microsoft.com/office/drawing/2014/chart" uri="{C3380CC4-5D6E-409C-BE32-E72D297353CC}">
              <c16:uniqueId val="{00000004-1360-4FD7-A621-A547CDB8E203}"/>
            </c:ext>
          </c:extLst>
        </c:ser>
        <c:dLbls>
          <c:showLegendKey val="0"/>
          <c:showVal val="1"/>
          <c:showCatName val="0"/>
          <c:showSerName val="0"/>
          <c:showPercent val="0"/>
          <c:showBubbleSize val="0"/>
        </c:dLbls>
        <c:gapWidth val="75"/>
        <c:axId val="158943872"/>
        <c:axId val="158945664"/>
      </c:barChart>
      <c:catAx>
        <c:axId val="158943872"/>
        <c:scaling>
          <c:orientation val="minMax"/>
        </c:scaling>
        <c:delete val="0"/>
        <c:axPos val="b"/>
        <c:numFmt formatCode="General" sourceLinked="0"/>
        <c:majorTickMark val="none"/>
        <c:minorTickMark val="none"/>
        <c:tickLblPos val="nextTo"/>
        <c:txPr>
          <a:bodyPr/>
          <a:lstStyle/>
          <a:p>
            <a:pPr>
              <a:defRPr sz="600"/>
            </a:pPr>
            <a:endParaRPr lang="ru-RU"/>
          </a:p>
        </c:txPr>
        <c:crossAx val="158945664"/>
        <c:crosses val="autoZero"/>
        <c:auto val="1"/>
        <c:lblAlgn val="ctr"/>
        <c:lblOffset val="100"/>
        <c:noMultiLvlLbl val="0"/>
      </c:catAx>
      <c:valAx>
        <c:axId val="158945664"/>
        <c:scaling>
          <c:orientation val="minMax"/>
          <c:min val="0"/>
        </c:scaling>
        <c:delete val="1"/>
        <c:axPos val="l"/>
        <c:numFmt formatCode="General" sourceLinked="1"/>
        <c:majorTickMark val="none"/>
        <c:minorTickMark val="none"/>
        <c:tickLblPos val="nextTo"/>
        <c:crossAx val="158943872"/>
        <c:crosses val="autoZero"/>
        <c:crossBetween val="between"/>
        <c:majorUnit val="40000"/>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0.71381</cdr:x>
      <cdr:y>0.31307</cdr:y>
    </cdr:from>
    <cdr:to>
      <cdr:x>0.91609</cdr:x>
      <cdr:y>0.46865</cdr:y>
    </cdr:to>
    <cdr:sp macro="" textlink="">
      <cdr:nvSpPr>
        <cdr:cNvPr id="6" name="Надпись 2"/>
        <cdr:cNvSpPr txBox="1">
          <a:spLocks xmlns:a="http://schemas.openxmlformats.org/drawingml/2006/main" noChangeArrowheads="1"/>
        </cdr:cNvSpPr>
      </cdr:nvSpPr>
      <cdr:spPr bwMode="auto">
        <a:xfrm xmlns:a="http://schemas.openxmlformats.org/drawingml/2006/main">
          <a:off x="4058102" y="808927"/>
          <a:ext cx="1150002" cy="40197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defPPr>
            <a:defRPr lang="ru-RU"/>
          </a:defPPr>
          <a:lvl1pPr algn="l" rtl="0" fontAlgn="base">
            <a:spcBef>
              <a:spcPct val="0"/>
            </a:spcBef>
            <a:spcAft>
              <a:spcPct val="0"/>
            </a:spcAft>
            <a:defRPr sz="2400" b="1" kern="1200">
              <a:solidFill>
                <a:schemeClr val="tx1"/>
              </a:solidFill>
              <a:latin typeface="Times New Roman" pitchFamily="18" charset="0"/>
              <a:ea typeface="+mn-ea"/>
              <a:cs typeface="+mn-cs"/>
            </a:defRPr>
          </a:lvl1pPr>
          <a:lvl2pPr marL="457200" algn="l" rtl="0" fontAlgn="base">
            <a:spcBef>
              <a:spcPct val="0"/>
            </a:spcBef>
            <a:spcAft>
              <a:spcPct val="0"/>
            </a:spcAft>
            <a:defRPr sz="2400" b="1" kern="1200">
              <a:solidFill>
                <a:schemeClr val="tx1"/>
              </a:solidFill>
              <a:latin typeface="Times New Roman" pitchFamily="18" charset="0"/>
              <a:ea typeface="+mn-ea"/>
              <a:cs typeface="+mn-cs"/>
            </a:defRPr>
          </a:lvl2pPr>
          <a:lvl3pPr marL="914400" algn="l" rtl="0" fontAlgn="base">
            <a:spcBef>
              <a:spcPct val="0"/>
            </a:spcBef>
            <a:spcAft>
              <a:spcPct val="0"/>
            </a:spcAft>
            <a:defRPr sz="2400" b="1" kern="1200">
              <a:solidFill>
                <a:schemeClr val="tx1"/>
              </a:solidFill>
              <a:latin typeface="Times New Roman" pitchFamily="18" charset="0"/>
              <a:ea typeface="+mn-ea"/>
              <a:cs typeface="+mn-cs"/>
            </a:defRPr>
          </a:lvl3pPr>
          <a:lvl4pPr marL="1371600" algn="l" rtl="0" fontAlgn="base">
            <a:spcBef>
              <a:spcPct val="0"/>
            </a:spcBef>
            <a:spcAft>
              <a:spcPct val="0"/>
            </a:spcAft>
            <a:defRPr sz="2400" b="1" kern="1200">
              <a:solidFill>
                <a:schemeClr val="tx1"/>
              </a:solidFill>
              <a:latin typeface="Times New Roman" pitchFamily="18" charset="0"/>
              <a:ea typeface="+mn-ea"/>
              <a:cs typeface="+mn-cs"/>
            </a:defRPr>
          </a:lvl4pPr>
          <a:lvl5pPr marL="1828800" algn="l" rtl="0" fontAlgn="base">
            <a:spcBef>
              <a:spcPct val="0"/>
            </a:spcBef>
            <a:spcAft>
              <a:spcPct val="0"/>
            </a:spcAft>
            <a:defRPr sz="2400" b="1" kern="1200">
              <a:solidFill>
                <a:schemeClr val="tx1"/>
              </a:solidFill>
              <a:latin typeface="Times New Roman" pitchFamily="18" charset="0"/>
              <a:ea typeface="+mn-ea"/>
              <a:cs typeface="+mn-cs"/>
            </a:defRPr>
          </a:lvl5pPr>
          <a:lvl6pPr marL="2286000" algn="l" defTabSz="914400" rtl="0" eaLnBrk="1" latinLnBrk="0" hangingPunct="1">
            <a:defRPr sz="2400" b="1" kern="1200">
              <a:solidFill>
                <a:schemeClr val="tx1"/>
              </a:solidFill>
              <a:latin typeface="Times New Roman" pitchFamily="18" charset="0"/>
              <a:ea typeface="+mn-ea"/>
              <a:cs typeface="+mn-cs"/>
            </a:defRPr>
          </a:lvl6pPr>
          <a:lvl7pPr marL="2743200" algn="l" defTabSz="914400" rtl="0" eaLnBrk="1" latinLnBrk="0" hangingPunct="1">
            <a:defRPr sz="2400" b="1" kern="1200">
              <a:solidFill>
                <a:schemeClr val="tx1"/>
              </a:solidFill>
              <a:latin typeface="Times New Roman" pitchFamily="18" charset="0"/>
              <a:ea typeface="+mn-ea"/>
              <a:cs typeface="+mn-cs"/>
            </a:defRPr>
          </a:lvl7pPr>
          <a:lvl8pPr marL="3200400" algn="l" defTabSz="914400" rtl="0" eaLnBrk="1" latinLnBrk="0" hangingPunct="1">
            <a:defRPr sz="2400" b="1" kern="1200">
              <a:solidFill>
                <a:schemeClr val="tx1"/>
              </a:solidFill>
              <a:latin typeface="Times New Roman" pitchFamily="18" charset="0"/>
              <a:ea typeface="+mn-ea"/>
              <a:cs typeface="+mn-cs"/>
            </a:defRPr>
          </a:lvl8pPr>
          <a:lvl9pPr marL="3657600" algn="l" defTabSz="914400" rtl="0" eaLnBrk="1" latinLnBrk="0" hangingPunct="1">
            <a:defRPr sz="2400" b="1" kern="1200">
              <a:solidFill>
                <a:schemeClr val="tx1"/>
              </a:solidFill>
              <a:latin typeface="Times New Roman" pitchFamily="18" charset="0"/>
              <a:ea typeface="+mn-ea"/>
              <a:cs typeface="+mn-cs"/>
            </a:defRPr>
          </a:lvl9pPr>
        </a:lstStyle>
        <a:p xmlns:a="http://schemas.openxmlformats.org/drawingml/2006/main">
          <a:pPr algn="ctr">
            <a:spcAft>
              <a:spcPts val="800"/>
            </a:spcAft>
          </a:pPr>
          <a:r>
            <a:rPr lang="ru-RU" sz="1100" dirty="0" smtClean="0">
              <a:solidFill>
                <a:srgbClr val="FF0000"/>
              </a:solidFill>
              <a:latin typeface="Times New Roman"/>
              <a:ea typeface="Calibri"/>
              <a:cs typeface="Times New Roman"/>
            </a:rPr>
            <a:t>36,6%-</a:t>
          </a:r>
          <a:r>
            <a:rPr lang="ru-RU" sz="1000" dirty="0" err="1" smtClean="0">
              <a:solidFill>
                <a:srgbClr val="FF0000"/>
              </a:solidFill>
              <a:latin typeface="Times New Roman"/>
              <a:ea typeface="Calibri"/>
              <a:cs typeface="Times New Roman"/>
            </a:rPr>
            <a:t>ға</a:t>
          </a:r>
          <a:r>
            <a:rPr lang="ru-RU" sz="1000" dirty="0" smtClean="0">
              <a:solidFill>
                <a:srgbClr val="FF0000"/>
              </a:solidFill>
              <a:latin typeface="Times New Roman"/>
              <a:ea typeface="Calibri"/>
              <a:cs typeface="Times New Roman"/>
            </a:rPr>
            <a:t> </a:t>
          </a:r>
          <a:r>
            <a:rPr lang="ru-RU" sz="1000" dirty="0" err="1" smtClean="0">
              <a:solidFill>
                <a:srgbClr val="FF0000"/>
              </a:solidFill>
              <a:latin typeface="Times New Roman"/>
              <a:ea typeface="Calibri"/>
              <a:cs typeface="Times New Roman"/>
            </a:rPr>
            <a:t>орындалды</a:t>
          </a:r>
          <a:endParaRPr lang="ru-RU" sz="1000" dirty="0">
            <a:solidFill>
              <a:srgbClr val="FF0000"/>
            </a:solidFill>
            <a:latin typeface="Times New Roman"/>
            <a:ea typeface="Calibri"/>
            <a:cs typeface="Times New Roman"/>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275</TotalTime>
  <Pages>5</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Eshimbetova</dc:creator>
  <cp:lastModifiedBy>Omar Onlanov</cp:lastModifiedBy>
  <cp:revision>47</cp:revision>
  <dcterms:created xsi:type="dcterms:W3CDTF">2022-04-21T06:30:00Z</dcterms:created>
  <dcterms:modified xsi:type="dcterms:W3CDTF">2022-04-29T08:17:00Z</dcterms:modified>
</cp:coreProperties>
</file>